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cs="Times New Roman"/>
          <w:color w:val="FF0000"/>
          <w:sz w:val="44"/>
          <w:szCs w:val="44"/>
        </w:rPr>
      </w:pPr>
      <w:r>
        <w:rPr>
          <w:rFonts w:ascii="方正小标宋简体" w:hAnsi="黑体" w:eastAsia="方正小标宋简体" w:cs="方正小标宋简体"/>
          <w:sz w:val="44"/>
          <w:szCs w:val="44"/>
        </w:rPr>
        <w:t>2017</w:t>
      </w:r>
      <w:r>
        <w:rPr>
          <w:rFonts w:hint="eastAsia" w:ascii="方正小标宋简体" w:hAnsi="黑体" w:eastAsia="方正小标宋简体" w:cs="方正小标宋简体"/>
          <w:sz w:val="44"/>
          <w:szCs w:val="44"/>
        </w:rPr>
        <w:t>年度霸州津霸经济开发区管理委员会决算信息公开情况说明</w:t>
      </w:r>
    </w:p>
    <w:p>
      <w:pPr>
        <w:widowControl/>
        <w:spacing w:line="560" w:lineRule="exact"/>
        <w:ind w:firstLine="640" w:firstLineChars="200"/>
        <w:rPr>
          <w:rFonts w:ascii="仿宋_GB2312" w:hAnsi="仿宋" w:eastAsia="仿宋_GB2312" w:cs="Times New Roman"/>
          <w:sz w:val="32"/>
          <w:szCs w:val="32"/>
        </w:rPr>
      </w:pPr>
    </w:p>
    <w:p>
      <w:pPr>
        <w:widowControl/>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按照《预算法》、《河北省财政厅关于印发</w:t>
      </w:r>
      <w:r>
        <w:rPr>
          <w:rFonts w:ascii="仿宋_GB2312" w:hAnsi="仿宋" w:eastAsia="仿宋_GB2312" w:cs="仿宋_GB2312"/>
          <w:sz w:val="32"/>
          <w:szCs w:val="32"/>
        </w:rPr>
        <w:t>&lt;</w:t>
      </w:r>
      <w:r>
        <w:rPr>
          <w:rFonts w:hint="eastAsia" w:ascii="仿宋_GB2312" w:hAnsi="仿宋" w:eastAsia="仿宋_GB2312" w:cs="仿宋_GB2312"/>
          <w:sz w:val="32"/>
          <w:szCs w:val="32"/>
        </w:rPr>
        <w:t>河北省预决算公开操作规程实施细则</w:t>
      </w:r>
      <w:r>
        <w:rPr>
          <w:rFonts w:ascii="仿宋_GB2312" w:hAnsi="仿宋" w:eastAsia="仿宋_GB2312" w:cs="仿宋_GB2312"/>
          <w:sz w:val="32"/>
          <w:szCs w:val="32"/>
        </w:rPr>
        <w:t>&gt;</w:t>
      </w:r>
      <w:r>
        <w:rPr>
          <w:rFonts w:hint="eastAsia" w:ascii="仿宋_GB2312" w:hAnsi="仿宋" w:eastAsia="仿宋_GB2312" w:cs="仿宋_GB2312"/>
          <w:sz w:val="32"/>
          <w:szCs w:val="32"/>
        </w:rPr>
        <w:t>的通知》（冀财预</w:t>
      </w:r>
      <w:r>
        <w:rPr>
          <w:rFonts w:hint="eastAsia" w:ascii="仿宋_GB2312" w:hAnsi="宋体" w:cs="宋体"/>
          <w:sz w:val="32"/>
          <w:szCs w:val="32"/>
        </w:rPr>
        <w:t>﹝</w:t>
      </w:r>
      <w:r>
        <w:rPr>
          <w:rFonts w:ascii="仿宋_GB2312" w:hAnsi="仿宋" w:eastAsia="仿宋_GB2312" w:cs="仿宋_GB2312"/>
          <w:sz w:val="32"/>
          <w:szCs w:val="32"/>
        </w:rPr>
        <w:t>2016</w:t>
      </w:r>
      <w:r>
        <w:rPr>
          <w:rFonts w:hint="eastAsia" w:ascii="仿宋_GB2312" w:hAnsi="宋体" w:cs="宋体"/>
          <w:sz w:val="32"/>
          <w:szCs w:val="32"/>
        </w:rPr>
        <w:t>﹞</w:t>
      </w:r>
      <w:r>
        <w:rPr>
          <w:rFonts w:ascii="仿宋_GB2312" w:hAnsi="仿宋" w:eastAsia="仿宋_GB2312" w:cs="仿宋_GB2312"/>
          <w:sz w:val="32"/>
          <w:szCs w:val="32"/>
        </w:rPr>
        <w:t>129</w:t>
      </w:r>
      <w:r>
        <w:rPr>
          <w:rFonts w:hint="eastAsia" w:ascii="仿宋_GB2312" w:hAnsi="仿宋" w:eastAsia="仿宋_GB2312" w:cs="仿宋_GB2312"/>
          <w:sz w:val="32"/>
          <w:szCs w:val="32"/>
        </w:rPr>
        <w:t>号）等规定，现将</w:t>
      </w:r>
      <w:r>
        <w:rPr>
          <w:rFonts w:ascii="仿宋_GB2312" w:hAnsi="仿宋" w:eastAsia="仿宋_GB2312" w:cs="仿宋_GB2312"/>
          <w:sz w:val="32"/>
          <w:szCs w:val="32"/>
        </w:rPr>
        <w:t>2017</w:t>
      </w:r>
      <w:r>
        <w:rPr>
          <w:rFonts w:hint="eastAsia" w:ascii="仿宋_GB2312" w:hAnsi="仿宋" w:eastAsia="仿宋_GB2312" w:cs="仿宋_GB2312"/>
          <w:sz w:val="32"/>
          <w:szCs w:val="32"/>
        </w:rPr>
        <w:t>年部门决算公开如下：</w:t>
      </w:r>
    </w:p>
    <w:p>
      <w:pPr>
        <w:widowControl/>
        <w:numPr>
          <w:ilvl w:val="0"/>
          <w:numId w:val="1"/>
        </w:num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部门职责及机构设置情况</w:t>
      </w:r>
    </w:p>
    <w:p>
      <w:pPr>
        <w:widowControl/>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w:t>
      </w:r>
    </w:p>
    <w:p>
      <w:pPr>
        <w:ind w:firstLine="640" w:firstLineChars="200"/>
        <w:rPr>
          <w:rFonts w:ascii="仿宋_GB2312" w:eastAsia="仿宋_GB2312" w:cs="Times New Roman"/>
          <w:sz w:val="32"/>
          <w:szCs w:val="32"/>
        </w:rPr>
      </w:pPr>
      <w:r>
        <w:rPr>
          <w:rFonts w:hint="eastAsia" w:ascii="仿宋_GB2312" w:hAnsi="仿宋_GB2312" w:eastAsia="仿宋_GB2312" w:cs="仿宋_GB2312"/>
          <w:sz w:val="32"/>
          <w:szCs w:val="32"/>
        </w:rPr>
        <w:t>贯彻落实党的路线、方针、政策和上级党委的决议、指示、研究辖区内重大经济社会发展问题；按照授权和干部管理权限负责辖区内干部管理；负责辖区内党的建设和其他党务工作；负责宣传和精神文明建设工作；组织协调辖区内社会管理综合治理和维护稳定工作；负责辖区内党的纪律检查工作；负责辖区工会、共青团、妇联等群团工作；负责辖区的总体规划和经济、社会发展规划，经批准后组织实施；编制辖区区域性城市发展规划、国土利用规划，经批准后组织实施；审批或审核辖区固定资产投资项目；负责辖区基础设施和公共设施的建设和管理；负责管理和使用辖区建设发展专项资金；负责招商引资、进出口贸易和国内经济技术合作工作；负责辖区人力资源和社会保障工作；负责协调辖区内上级有关部门派驻机构的工作；完成中共霸州市委、霸州市政府交办的其他任务。</w:t>
      </w:r>
    </w:p>
    <w:p>
      <w:pPr>
        <w:widowControl/>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机构设置：</w:t>
      </w:r>
    </w:p>
    <w:p>
      <w:pPr>
        <w:spacing w:line="560" w:lineRule="exact"/>
        <w:jc w:val="center"/>
        <w:outlineLvl w:val="0"/>
        <w:rPr>
          <w:rFonts w:ascii="仿宋_GB2312" w:eastAsia="仿宋_GB2312" w:cs="Times New Roman"/>
          <w:sz w:val="32"/>
          <w:szCs w:val="32"/>
        </w:rPr>
      </w:pPr>
      <w:r>
        <w:rPr>
          <w:rFonts w:hint="eastAsia" w:ascii="仿宋_GB2312" w:eastAsia="仿宋_GB2312" w:cs="仿宋_GB2312"/>
          <w:sz w:val="32"/>
          <w:szCs w:val="32"/>
        </w:rPr>
        <w:t>部门机构设置情况</w:t>
      </w:r>
    </w:p>
    <w:tbl>
      <w:tblPr>
        <w:tblStyle w:val="5"/>
        <w:tblW w:w="1072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0"/>
        <w:gridCol w:w="1109"/>
        <w:gridCol w:w="1758"/>
        <w:gridCol w:w="3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4820" w:type="dxa"/>
            <w:vMerge w:val="restart"/>
            <w:vAlign w:val="center"/>
          </w:tcPr>
          <w:p>
            <w:pPr>
              <w:spacing w:line="560" w:lineRule="exact"/>
              <w:ind w:firstLine="422" w:firstLineChars="200"/>
              <w:jc w:val="center"/>
              <w:rPr>
                <w:rFonts w:eastAsia="方正书宋_GBK" w:cs="Times New Roman"/>
                <w:b/>
                <w:bCs/>
              </w:rPr>
            </w:pPr>
            <w:r>
              <w:rPr>
                <w:rFonts w:hint="eastAsia" w:eastAsia="方正书宋_GBK" w:cs="方正书宋_GBK"/>
                <w:b/>
                <w:bCs/>
              </w:rPr>
              <w:t>单位名称</w:t>
            </w:r>
          </w:p>
        </w:tc>
        <w:tc>
          <w:tcPr>
            <w:tcW w:w="1109" w:type="dxa"/>
            <w:vMerge w:val="restart"/>
            <w:vAlign w:val="center"/>
          </w:tcPr>
          <w:p>
            <w:pPr>
              <w:spacing w:line="560" w:lineRule="exact"/>
              <w:jc w:val="center"/>
              <w:rPr>
                <w:rFonts w:eastAsia="方正书宋_GBK" w:cs="Times New Roman"/>
                <w:b/>
                <w:bCs/>
              </w:rPr>
            </w:pPr>
            <w:r>
              <w:rPr>
                <w:rFonts w:hint="eastAsia" w:eastAsia="方正书宋_GBK" w:cs="方正书宋_GBK"/>
                <w:b/>
                <w:bCs/>
              </w:rPr>
              <w:t>单位性质</w:t>
            </w:r>
          </w:p>
        </w:tc>
        <w:tc>
          <w:tcPr>
            <w:tcW w:w="1758" w:type="dxa"/>
            <w:vMerge w:val="restart"/>
            <w:vAlign w:val="center"/>
          </w:tcPr>
          <w:p>
            <w:pPr>
              <w:spacing w:line="560" w:lineRule="exact"/>
              <w:jc w:val="center"/>
              <w:rPr>
                <w:rFonts w:eastAsia="方正书宋_GBK" w:cs="Times New Roman"/>
                <w:b/>
                <w:bCs/>
              </w:rPr>
            </w:pPr>
            <w:r>
              <w:rPr>
                <w:rFonts w:hint="eastAsia" w:eastAsia="方正书宋_GBK" w:cs="方正书宋_GBK"/>
                <w:b/>
                <w:bCs/>
              </w:rPr>
              <w:t>单位</w:t>
            </w:r>
            <w:r>
              <w:rPr>
                <w:rFonts w:eastAsia="方正书宋_GBK"/>
                <w:b/>
                <w:bCs/>
              </w:rPr>
              <w:t xml:space="preserve"> </w:t>
            </w:r>
            <w:r>
              <w:rPr>
                <w:rFonts w:hint="eastAsia" w:eastAsia="方正书宋_GBK" w:cs="方正书宋_GBK"/>
                <w:b/>
                <w:bCs/>
              </w:rPr>
              <w:t>规格</w:t>
            </w:r>
          </w:p>
        </w:tc>
        <w:tc>
          <w:tcPr>
            <w:tcW w:w="3034" w:type="dxa"/>
            <w:vMerge w:val="restart"/>
            <w:vAlign w:val="center"/>
          </w:tcPr>
          <w:p>
            <w:pPr>
              <w:spacing w:line="560" w:lineRule="exact"/>
              <w:jc w:val="center"/>
              <w:rPr>
                <w:rFonts w:eastAsia="方正书宋_GBK" w:cs="Times New Roman"/>
                <w:b/>
                <w:bCs/>
              </w:rPr>
            </w:pPr>
            <w:r>
              <w:rPr>
                <w:rFonts w:hint="eastAsia"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4820" w:type="dxa"/>
            <w:vMerge w:val="continue"/>
            <w:vAlign w:val="center"/>
          </w:tcPr>
          <w:p>
            <w:pPr>
              <w:spacing w:line="560" w:lineRule="exact"/>
              <w:ind w:firstLine="420" w:firstLineChars="200"/>
              <w:jc w:val="center"/>
              <w:outlineLvl w:val="0"/>
              <w:rPr>
                <w:rFonts w:cs="Times New Roman"/>
              </w:rPr>
            </w:pPr>
          </w:p>
        </w:tc>
        <w:tc>
          <w:tcPr>
            <w:tcW w:w="1109" w:type="dxa"/>
            <w:vMerge w:val="continue"/>
            <w:vAlign w:val="center"/>
          </w:tcPr>
          <w:p>
            <w:pPr>
              <w:spacing w:line="560" w:lineRule="exact"/>
              <w:ind w:firstLine="420" w:firstLineChars="200"/>
              <w:jc w:val="center"/>
              <w:outlineLvl w:val="0"/>
              <w:rPr>
                <w:rFonts w:cs="Times New Roman"/>
              </w:rPr>
            </w:pPr>
          </w:p>
        </w:tc>
        <w:tc>
          <w:tcPr>
            <w:tcW w:w="1758" w:type="dxa"/>
            <w:vMerge w:val="continue"/>
            <w:vAlign w:val="center"/>
          </w:tcPr>
          <w:p>
            <w:pPr>
              <w:spacing w:line="560" w:lineRule="exact"/>
              <w:ind w:firstLine="420" w:firstLineChars="200"/>
              <w:jc w:val="center"/>
              <w:outlineLvl w:val="0"/>
              <w:rPr>
                <w:rFonts w:cs="Times New Roman"/>
              </w:rPr>
            </w:pPr>
          </w:p>
        </w:tc>
        <w:tc>
          <w:tcPr>
            <w:tcW w:w="3034" w:type="dxa"/>
            <w:vMerge w:val="continue"/>
            <w:vAlign w:val="center"/>
          </w:tcPr>
          <w:p>
            <w:pPr>
              <w:spacing w:line="560" w:lineRule="exact"/>
              <w:ind w:firstLine="420" w:firstLineChars="200"/>
              <w:jc w:val="center"/>
              <w:outlineLvl w:val="0"/>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jc w:val="center"/>
        </w:trPr>
        <w:tc>
          <w:tcPr>
            <w:tcW w:w="4820" w:type="dxa"/>
            <w:vAlign w:val="center"/>
          </w:tcPr>
          <w:p>
            <w:pPr>
              <w:spacing w:line="560" w:lineRule="exact"/>
              <w:jc w:val="center"/>
              <w:rPr>
                <w:rFonts w:ascii="仿宋_GB2312" w:eastAsia="仿宋_GB2312" w:cs="Times New Roman"/>
                <w:sz w:val="28"/>
                <w:szCs w:val="28"/>
              </w:rPr>
            </w:pPr>
            <w:r>
              <w:rPr>
                <w:rFonts w:hint="eastAsia" w:ascii="仿宋_GB2312" w:eastAsia="仿宋_GB2312" w:cs="仿宋_GB2312"/>
                <w:sz w:val="28"/>
                <w:szCs w:val="28"/>
              </w:rPr>
              <w:t>霸州津霸经济开发区管理委员会</w:t>
            </w:r>
          </w:p>
        </w:tc>
        <w:tc>
          <w:tcPr>
            <w:tcW w:w="1109" w:type="dxa"/>
            <w:vAlign w:val="center"/>
          </w:tcPr>
          <w:p>
            <w:pPr>
              <w:spacing w:line="560" w:lineRule="exact"/>
              <w:jc w:val="center"/>
              <w:rPr>
                <w:rFonts w:ascii="仿宋_GB2312" w:eastAsia="仿宋_GB2312" w:cs="Times New Roman"/>
                <w:sz w:val="28"/>
                <w:szCs w:val="28"/>
              </w:rPr>
            </w:pPr>
            <w:r>
              <w:rPr>
                <w:rFonts w:hint="eastAsia" w:ascii="仿宋_GB2312" w:eastAsia="仿宋_GB2312" w:cs="仿宋_GB2312"/>
                <w:sz w:val="28"/>
                <w:szCs w:val="28"/>
              </w:rPr>
              <w:t>行政</w:t>
            </w:r>
          </w:p>
        </w:tc>
        <w:tc>
          <w:tcPr>
            <w:tcW w:w="1758" w:type="dxa"/>
            <w:vAlign w:val="center"/>
          </w:tcPr>
          <w:p>
            <w:pPr>
              <w:spacing w:line="560" w:lineRule="exact"/>
              <w:jc w:val="center"/>
              <w:rPr>
                <w:rFonts w:ascii="仿宋_GB2312" w:eastAsia="仿宋_GB2312" w:cs="Times New Roman"/>
                <w:sz w:val="28"/>
                <w:szCs w:val="28"/>
              </w:rPr>
            </w:pPr>
            <w:r>
              <w:rPr>
                <w:rFonts w:hint="eastAsia" w:ascii="仿宋_GB2312" w:eastAsia="仿宋_GB2312" w:cs="仿宋_GB2312"/>
                <w:sz w:val="28"/>
                <w:szCs w:val="28"/>
              </w:rPr>
              <w:t>副处级</w:t>
            </w:r>
          </w:p>
        </w:tc>
        <w:tc>
          <w:tcPr>
            <w:tcW w:w="3034" w:type="dxa"/>
            <w:vAlign w:val="center"/>
          </w:tcPr>
          <w:p>
            <w:pPr>
              <w:spacing w:line="560" w:lineRule="exact"/>
              <w:jc w:val="center"/>
              <w:rPr>
                <w:rFonts w:ascii="仿宋_GB2312" w:eastAsia="仿宋_GB2312" w:cs="Times New Roman"/>
                <w:sz w:val="28"/>
                <w:szCs w:val="28"/>
              </w:rPr>
            </w:pPr>
            <w:r>
              <w:rPr>
                <w:rFonts w:hint="eastAsia" w:ascii="仿宋_GB2312" w:eastAsia="仿宋_GB2312" w:cs="仿宋_GB2312"/>
                <w:sz w:val="28"/>
                <w:szCs w:val="28"/>
              </w:rPr>
              <w:t>财政拨款</w:t>
            </w:r>
          </w:p>
        </w:tc>
      </w:tr>
    </w:tbl>
    <w:p>
      <w:pPr>
        <w:spacing w:line="560" w:lineRule="exact"/>
        <w:ind w:firstLine="1124" w:firstLineChars="400"/>
        <w:rPr>
          <w:rFonts w:ascii="仿宋" w:hAnsi="仿宋" w:eastAsia="仿宋" w:cs="Times New Roman"/>
          <w:b/>
          <w:bCs/>
          <w:sz w:val="28"/>
          <w:szCs w:val="28"/>
        </w:rPr>
      </w:pPr>
      <w:r>
        <w:rPr>
          <w:rFonts w:hint="eastAsia" w:ascii="仿宋" w:hAnsi="仿宋" w:eastAsia="仿宋" w:cs="仿宋"/>
          <w:b/>
          <w:bCs/>
          <w:sz w:val="28"/>
          <w:szCs w:val="28"/>
        </w:rPr>
        <w:t>我单位为</w:t>
      </w:r>
      <w:r>
        <w:rPr>
          <w:rFonts w:ascii="仿宋" w:hAnsi="仿宋" w:eastAsia="仿宋" w:cs="仿宋"/>
          <w:b/>
          <w:bCs/>
          <w:sz w:val="28"/>
          <w:szCs w:val="28"/>
        </w:rPr>
        <w:t>1</w:t>
      </w:r>
      <w:r>
        <w:rPr>
          <w:rFonts w:hint="eastAsia" w:ascii="仿宋" w:hAnsi="仿宋" w:eastAsia="仿宋" w:cs="仿宋"/>
          <w:b/>
          <w:bCs/>
          <w:sz w:val="28"/>
          <w:szCs w:val="28"/>
        </w:rPr>
        <w:t>级预算单位，无下属单位，无汇总决算。</w:t>
      </w:r>
    </w:p>
    <w:p>
      <w:pPr>
        <w:spacing w:line="560" w:lineRule="exact"/>
        <w:ind w:firstLine="640" w:firstLineChars="200"/>
        <w:rPr>
          <w:rFonts w:ascii="黑体" w:hAnsi="黑体" w:eastAsia="黑体" w:cs="Times New Roman"/>
          <w:sz w:val="32"/>
          <w:szCs w:val="32"/>
        </w:rPr>
      </w:pPr>
      <w:r>
        <w:rPr>
          <w:rFonts w:hint="eastAsia" w:eastAsia="黑体" w:cs="黑体"/>
          <w:sz w:val="32"/>
          <w:szCs w:val="32"/>
        </w:rPr>
        <w:t>二、</w:t>
      </w:r>
      <w:r>
        <w:rPr>
          <w:rFonts w:hint="eastAsia" w:ascii="黑体" w:hAnsi="黑体" w:eastAsia="黑体" w:cs="黑体"/>
          <w:sz w:val="32"/>
          <w:szCs w:val="32"/>
        </w:rPr>
        <w:t>部门决算报表（见附表）</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（一）收入支出决算总表</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（二）收入决算表</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（三）支出决算表</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（四）财政拨款收入支出决算总表</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（五）一般公共预算财政拨款收入支出决算表</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（六）一般公共预算财政拨款基本支出决算表</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（七）政府性基金预算财政拨款收入支出决算表</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（八）国有资本经营预算财政拨款收入支出决算表</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（九）“三公”经费及相关信息统计表</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（十）政府采购情况表</w:t>
      </w:r>
    </w:p>
    <w:p>
      <w:pPr>
        <w:spacing w:line="560" w:lineRule="exact"/>
        <w:ind w:firstLine="640" w:firstLineChars="200"/>
        <w:rPr>
          <w:rFonts w:ascii="黑体" w:hAnsi="黑体" w:eastAsia="黑体" w:cs="Times New Roman"/>
          <w:sz w:val="32"/>
          <w:szCs w:val="32"/>
        </w:rPr>
      </w:pPr>
      <w:r>
        <w:rPr>
          <w:rFonts w:hint="eastAsia" w:eastAsia="黑体" w:cs="黑体"/>
          <w:sz w:val="32"/>
          <w:szCs w:val="32"/>
        </w:rPr>
        <w:t>三、</w:t>
      </w:r>
      <w:r>
        <w:rPr>
          <w:rFonts w:ascii="黑体" w:hAnsi="黑体" w:eastAsia="黑体" w:cs="黑体"/>
          <w:sz w:val="32"/>
          <w:szCs w:val="32"/>
        </w:rPr>
        <w:t>2017</w:t>
      </w:r>
      <w:r>
        <w:rPr>
          <w:rFonts w:hint="eastAsia" w:ascii="黑体" w:hAnsi="黑体" w:eastAsia="黑体" w:cs="黑体"/>
          <w:sz w:val="32"/>
          <w:szCs w:val="32"/>
        </w:rPr>
        <w:t>年度部门决算情况说明</w:t>
      </w:r>
    </w:p>
    <w:p>
      <w:pPr>
        <w:snapToGrid w:val="0"/>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（一）收入支出决算总体情况说明</w:t>
      </w:r>
    </w:p>
    <w:p>
      <w:pPr>
        <w:ind w:firstLine="640" w:firstLineChars="200"/>
        <w:rPr>
          <w:rFonts w:ascii="仿宋_GB2312" w:hAnsi="仿宋_GB2312" w:eastAsia="仿宋_GB2312" w:cs="Times New Roman"/>
          <w:color w:val="FF0000"/>
          <w:sz w:val="32"/>
          <w:szCs w:val="32"/>
        </w:rPr>
      </w:pPr>
      <w:r>
        <w:rPr>
          <w:rFonts w:hint="eastAsia" w:ascii="仿宋_GB2312" w:hAnsi="仿宋_GB2312" w:eastAsia="仿宋_GB2312" w:cs="仿宋_GB2312"/>
          <w:color w:val="000000"/>
          <w:sz w:val="32"/>
          <w:szCs w:val="32"/>
        </w:rPr>
        <w:t>反映本部门综合收支情况。</w:t>
      </w:r>
      <w:r>
        <w:rPr>
          <w:rFonts w:hint="eastAsia" w:ascii="仿宋_GB2312" w:hAnsi="仿宋" w:eastAsia="仿宋_GB2312" w:cs="仿宋_GB2312"/>
          <w:sz w:val="32"/>
          <w:szCs w:val="32"/>
        </w:rPr>
        <w:t>霸州津霸经济开发区管理委员会</w:t>
      </w:r>
      <w:r>
        <w:rPr>
          <w:rFonts w:ascii="仿宋_GB2312" w:hAnsi="仿宋" w:eastAsia="仿宋_GB2312" w:cs="仿宋_GB2312"/>
          <w:sz w:val="32"/>
          <w:szCs w:val="32"/>
        </w:rPr>
        <w:t>2017</w:t>
      </w:r>
      <w:r>
        <w:rPr>
          <w:rFonts w:hint="eastAsia" w:ascii="仿宋_GB2312" w:hAnsi="仿宋" w:eastAsia="仿宋_GB2312" w:cs="仿宋_GB2312"/>
          <w:sz w:val="32"/>
          <w:szCs w:val="32"/>
        </w:rPr>
        <w:t>年度</w:t>
      </w:r>
      <w:r>
        <w:rPr>
          <w:rFonts w:hint="eastAsia" w:ascii="仿宋_GB2312" w:hAnsi="仿宋_GB2312" w:eastAsia="仿宋_GB2312" w:cs="仿宋_GB2312"/>
          <w:color w:val="000000"/>
          <w:sz w:val="32"/>
          <w:szCs w:val="32"/>
        </w:rPr>
        <w:t>决算收入总计</w:t>
      </w:r>
      <w:r>
        <w:rPr>
          <w:rFonts w:ascii="仿宋_GB2312" w:hAnsi="仿宋" w:eastAsia="仿宋_GB2312" w:cs="仿宋_GB2312"/>
          <w:sz w:val="32"/>
          <w:szCs w:val="32"/>
        </w:rPr>
        <w:t>200.8</w:t>
      </w:r>
      <w:r>
        <w:rPr>
          <w:rFonts w:hint="eastAsia" w:ascii="仿宋_GB2312" w:hAnsi="仿宋_GB2312" w:eastAsia="仿宋_GB2312" w:cs="仿宋_GB2312"/>
          <w:color w:val="000000"/>
          <w:sz w:val="32"/>
          <w:szCs w:val="32"/>
        </w:rPr>
        <w:t>万元，决算支出总计</w:t>
      </w:r>
      <w:r>
        <w:rPr>
          <w:rFonts w:ascii="仿宋_GB2312" w:hAnsi="仿宋_GB2312" w:eastAsia="仿宋_GB2312" w:cs="仿宋_GB2312"/>
          <w:color w:val="000000"/>
          <w:sz w:val="32"/>
          <w:szCs w:val="32"/>
        </w:rPr>
        <w:t>236.62</w:t>
      </w:r>
      <w:r>
        <w:rPr>
          <w:rFonts w:hint="eastAsia" w:ascii="仿宋_GB2312" w:hAnsi="仿宋_GB2312" w:eastAsia="仿宋_GB2312" w:cs="仿宋_GB2312"/>
          <w:color w:val="000000"/>
          <w:sz w:val="32"/>
          <w:szCs w:val="32"/>
        </w:rPr>
        <w:t>万元。与</w:t>
      </w:r>
      <w:r>
        <w:rPr>
          <w:rFonts w:ascii="仿宋_GB2312" w:hAnsi="仿宋_GB2312" w:eastAsia="仿宋_GB2312" w:cs="仿宋_GB2312"/>
          <w:color w:val="000000"/>
          <w:sz w:val="32"/>
          <w:szCs w:val="32"/>
        </w:rPr>
        <w:t>2016</w:t>
      </w:r>
      <w:r>
        <w:rPr>
          <w:rFonts w:hint="eastAsia" w:ascii="仿宋_GB2312" w:hAnsi="仿宋_GB2312" w:eastAsia="仿宋_GB2312" w:cs="仿宋_GB2312"/>
          <w:color w:val="000000"/>
          <w:sz w:val="32"/>
          <w:szCs w:val="32"/>
        </w:rPr>
        <w:t>年度决算相比，收入</w:t>
      </w:r>
      <w:r>
        <w:rPr>
          <w:rFonts w:hint="eastAsia" w:ascii="仿宋_GB2312" w:hAnsi="仿宋" w:eastAsia="仿宋_GB2312" w:cs="仿宋_GB2312"/>
          <w:sz w:val="32"/>
          <w:szCs w:val="32"/>
        </w:rPr>
        <w:t>减少</w:t>
      </w:r>
      <w:r>
        <w:rPr>
          <w:rFonts w:ascii="仿宋_GB2312" w:hAnsi="仿宋" w:eastAsia="仿宋_GB2312" w:cs="仿宋_GB2312"/>
          <w:sz w:val="32"/>
          <w:szCs w:val="32"/>
        </w:rPr>
        <w:t>23.64</w:t>
      </w:r>
      <w:r>
        <w:rPr>
          <w:rFonts w:hint="eastAsia" w:ascii="仿宋_GB2312" w:hAnsi="仿宋" w:eastAsia="仿宋_GB2312" w:cs="仿宋_GB2312"/>
          <w:sz w:val="32"/>
          <w:szCs w:val="32"/>
        </w:rPr>
        <w:t>万元，下降</w:t>
      </w:r>
      <w:r>
        <w:rPr>
          <w:rFonts w:ascii="仿宋_GB2312" w:hAnsi="仿宋" w:eastAsia="仿宋_GB2312" w:cs="仿宋_GB2312"/>
          <w:sz w:val="32"/>
          <w:szCs w:val="32"/>
        </w:rPr>
        <w:t>10.53%</w:t>
      </w:r>
      <w:r>
        <w:rPr>
          <w:rFonts w:hint="eastAsia" w:ascii="仿宋_GB2312" w:hAnsi="仿宋" w:eastAsia="仿宋_GB2312" w:cs="仿宋_GB2312"/>
          <w:sz w:val="32"/>
          <w:szCs w:val="32"/>
        </w:rPr>
        <w:t>，</w:t>
      </w:r>
      <w:r>
        <w:rPr>
          <w:rFonts w:hint="eastAsia" w:ascii="仿宋_GB2312" w:hAnsi="仿宋_GB2312" w:eastAsia="仿宋_GB2312" w:cs="仿宋_GB2312"/>
          <w:color w:val="000000"/>
          <w:sz w:val="32"/>
          <w:szCs w:val="32"/>
        </w:rPr>
        <w:t>主要原因是减少了社会保障和就业支出</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支出增加</w:t>
      </w:r>
      <w:r>
        <w:rPr>
          <w:rFonts w:ascii="仿宋_GB2312" w:hAnsi="仿宋_GB2312" w:eastAsia="仿宋_GB2312" w:cs="仿宋_GB2312"/>
          <w:color w:val="000000"/>
          <w:sz w:val="32"/>
          <w:szCs w:val="32"/>
        </w:rPr>
        <w:t>17.86</w:t>
      </w:r>
      <w:r>
        <w:rPr>
          <w:rFonts w:hint="eastAsia" w:ascii="仿宋_GB2312" w:hAnsi="仿宋" w:eastAsia="仿宋_GB2312" w:cs="仿宋_GB2312"/>
          <w:sz w:val="32"/>
          <w:szCs w:val="32"/>
        </w:rPr>
        <w:t>万元</w:t>
      </w:r>
      <w:r>
        <w:rPr>
          <w:rFonts w:hint="eastAsia" w:ascii="仿宋_GB2312" w:hAnsi="仿宋_GB2312" w:eastAsia="仿宋_GB2312" w:cs="仿宋_GB2312"/>
          <w:color w:val="000000"/>
          <w:sz w:val="32"/>
          <w:szCs w:val="32"/>
        </w:rPr>
        <w:t>，</w:t>
      </w:r>
      <w:r>
        <w:rPr>
          <w:rFonts w:hint="eastAsia" w:ascii="仿宋_GB2312" w:hAnsi="仿宋" w:eastAsia="仿宋_GB2312" w:cs="仿宋_GB2312"/>
          <w:sz w:val="32"/>
          <w:szCs w:val="32"/>
        </w:rPr>
        <w:t>增加</w:t>
      </w:r>
      <w:r>
        <w:rPr>
          <w:rFonts w:ascii="仿宋_GB2312" w:hAnsi="仿宋" w:eastAsia="仿宋_GB2312" w:cs="仿宋_GB2312"/>
          <w:sz w:val="32"/>
          <w:szCs w:val="32"/>
        </w:rPr>
        <w:t>8.16%</w:t>
      </w:r>
      <w:r>
        <w:rPr>
          <w:rFonts w:hint="eastAsia" w:ascii="仿宋_GB2312" w:hAnsi="仿宋_GB2312" w:eastAsia="仿宋_GB2312" w:cs="仿宋_GB2312"/>
          <w:color w:val="000000"/>
          <w:sz w:val="32"/>
          <w:szCs w:val="32"/>
        </w:rPr>
        <w:t>，主要原因是增加人员经费支出</w:t>
      </w:r>
      <w:r>
        <w:rPr>
          <w:rFonts w:hint="eastAsia" w:ascii="仿宋_GB2312" w:hAnsi="仿宋_GB2312" w:eastAsia="仿宋_GB2312" w:cs="仿宋_GB2312"/>
          <w:sz w:val="32"/>
          <w:szCs w:val="32"/>
        </w:rPr>
        <w:t>。</w:t>
      </w:r>
    </w:p>
    <w:p>
      <w:pPr>
        <w:snapToGrid w:val="0"/>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（二）收入决算情况说明</w:t>
      </w:r>
    </w:p>
    <w:p>
      <w:pPr>
        <w:widowControl/>
        <w:spacing w:line="560" w:lineRule="exact"/>
        <w:ind w:firstLine="640" w:firstLineChars="200"/>
        <w:rPr>
          <w:rFonts w:ascii="仿宋_GB2312" w:hAnsi="仿宋" w:eastAsia="仿宋_GB2312" w:cs="Times New Roman"/>
          <w:sz w:val="32"/>
          <w:szCs w:val="32"/>
        </w:rPr>
      </w:pPr>
      <w:r>
        <w:rPr>
          <w:rFonts w:hint="eastAsia" w:ascii="仿宋_GB2312" w:hAnsi="仿宋_GB2312" w:eastAsia="仿宋_GB2312" w:cs="仿宋_GB2312"/>
          <w:color w:val="000000"/>
          <w:sz w:val="32"/>
          <w:szCs w:val="32"/>
        </w:rPr>
        <w:t>反映本部门当年总体收入情况。</w:t>
      </w:r>
      <w:r>
        <w:rPr>
          <w:rFonts w:hint="eastAsia" w:ascii="仿宋_GB2312" w:hAnsi="仿宋" w:eastAsia="仿宋_GB2312" w:cs="仿宋_GB2312"/>
          <w:sz w:val="32"/>
          <w:szCs w:val="32"/>
        </w:rPr>
        <w:t>霸州津霸经济开发区管理委员会</w:t>
      </w:r>
      <w:r>
        <w:rPr>
          <w:rFonts w:ascii="仿宋_GB2312" w:hAnsi="仿宋" w:eastAsia="仿宋_GB2312" w:cs="仿宋_GB2312"/>
          <w:sz w:val="32"/>
          <w:szCs w:val="32"/>
        </w:rPr>
        <w:t>2017</w:t>
      </w:r>
      <w:r>
        <w:rPr>
          <w:rFonts w:hint="eastAsia" w:ascii="仿宋_GB2312" w:hAnsi="仿宋" w:eastAsia="仿宋_GB2312" w:cs="仿宋_GB2312"/>
          <w:sz w:val="32"/>
          <w:szCs w:val="32"/>
        </w:rPr>
        <w:t>年度收入合计</w:t>
      </w:r>
      <w:r>
        <w:rPr>
          <w:rFonts w:ascii="仿宋_GB2312" w:hAnsi="仿宋" w:eastAsia="仿宋_GB2312" w:cs="仿宋_GB2312"/>
          <w:sz w:val="32"/>
          <w:szCs w:val="32"/>
        </w:rPr>
        <w:t>200.8</w:t>
      </w:r>
      <w:r>
        <w:rPr>
          <w:rFonts w:hint="eastAsia" w:ascii="仿宋_GB2312" w:hAnsi="仿宋" w:eastAsia="仿宋_GB2312" w:cs="仿宋_GB2312"/>
          <w:sz w:val="32"/>
          <w:szCs w:val="32"/>
        </w:rPr>
        <w:t>万元，其中财政拨款收入</w:t>
      </w:r>
      <w:r>
        <w:rPr>
          <w:rFonts w:ascii="仿宋_GB2312" w:hAnsi="仿宋" w:eastAsia="仿宋_GB2312" w:cs="仿宋_GB2312"/>
          <w:sz w:val="32"/>
          <w:szCs w:val="32"/>
        </w:rPr>
        <w:t>200.8</w:t>
      </w:r>
      <w:r>
        <w:rPr>
          <w:rFonts w:hint="eastAsia" w:ascii="仿宋_GB2312" w:hAnsi="仿宋" w:eastAsia="仿宋_GB2312" w:cs="仿宋_GB2312"/>
          <w:sz w:val="32"/>
          <w:szCs w:val="32"/>
        </w:rPr>
        <w:t>万元，占比</w:t>
      </w:r>
      <w:r>
        <w:rPr>
          <w:rFonts w:ascii="仿宋_GB2312" w:hAnsi="仿宋" w:eastAsia="仿宋_GB2312" w:cs="仿宋_GB2312"/>
          <w:sz w:val="32"/>
          <w:szCs w:val="32"/>
        </w:rPr>
        <w:t>100%</w:t>
      </w:r>
      <w:r>
        <w:rPr>
          <w:rFonts w:hint="eastAsia" w:ascii="仿宋_GB2312" w:hAnsi="仿宋" w:eastAsia="仿宋_GB2312" w:cs="仿宋_GB2312"/>
          <w:sz w:val="32"/>
          <w:szCs w:val="32"/>
        </w:rPr>
        <w:t>；事业收入</w:t>
      </w:r>
      <w:r>
        <w:rPr>
          <w:rFonts w:ascii="仿宋_GB2312" w:hAnsi="仿宋" w:eastAsia="仿宋_GB2312" w:cs="仿宋_GB2312"/>
          <w:sz w:val="32"/>
          <w:szCs w:val="32"/>
        </w:rPr>
        <w:t>0</w:t>
      </w:r>
      <w:r>
        <w:rPr>
          <w:rFonts w:hint="eastAsia" w:ascii="仿宋_GB2312" w:hAnsi="仿宋" w:eastAsia="仿宋_GB2312" w:cs="仿宋_GB2312"/>
          <w:sz w:val="32"/>
          <w:szCs w:val="32"/>
        </w:rPr>
        <w:t>万元，占比</w:t>
      </w:r>
      <w:r>
        <w:rPr>
          <w:rFonts w:ascii="仿宋_GB2312" w:hAnsi="仿宋" w:eastAsia="仿宋_GB2312" w:cs="仿宋_GB2312"/>
          <w:sz w:val="32"/>
          <w:szCs w:val="32"/>
        </w:rPr>
        <w:t>0%</w:t>
      </w:r>
      <w:r>
        <w:rPr>
          <w:rFonts w:hint="eastAsia" w:ascii="仿宋_GB2312" w:hAnsi="仿宋" w:eastAsia="仿宋_GB2312" w:cs="仿宋_GB2312"/>
          <w:sz w:val="32"/>
          <w:szCs w:val="32"/>
        </w:rPr>
        <w:t>；其他收入</w:t>
      </w:r>
      <w:r>
        <w:rPr>
          <w:rFonts w:ascii="仿宋_GB2312" w:hAnsi="仿宋" w:eastAsia="仿宋_GB2312" w:cs="仿宋_GB2312"/>
          <w:sz w:val="32"/>
          <w:szCs w:val="32"/>
        </w:rPr>
        <w:t>0</w:t>
      </w:r>
      <w:r>
        <w:rPr>
          <w:rFonts w:hint="eastAsia" w:ascii="仿宋_GB2312" w:hAnsi="仿宋" w:eastAsia="仿宋_GB2312" w:cs="仿宋_GB2312"/>
          <w:sz w:val="32"/>
          <w:szCs w:val="32"/>
        </w:rPr>
        <w:t>万元，占比</w:t>
      </w:r>
      <w:r>
        <w:rPr>
          <w:rFonts w:ascii="仿宋_GB2312" w:hAnsi="仿宋" w:eastAsia="仿宋_GB2312" w:cs="仿宋_GB2312"/>
          <w:sz w:val="32"/>
          <w:szCs w:val="32"/>
        </w:rPr>
        <w:t>0%</w:t>
      </w:r>
      <w:r>
        <w:rPr>
          <w:rFonts w:hint="eastAsia" w:ascii="仿宋_GB2312" w:hAnsi="仿宋" w:eastAsia="仿宋_GB2312" w:cs="仿宋_GB2312"/>
          <w:sz w:val="32"/>
          <w:szCs w:val="32"/>
        </w:rPr>
        <w:t>。</w:t>
      </w:r>
    </w:p>
    <w:p>
      <w:pPr>
        <w:snapToGrid w:val="0"/>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（三）支出决算情况说明</w:t>
      </w:r>
    </w:p>
    <w:p>
      <w:pPr>
        <w:snapToGrid w:val="0"/>
        <w:spacing w:line="560" w:lineRule="exact"/>
        <w:ind w:firstLine="640" w:firstLineChars="200"/>
        <w:rPr>
          <w:rFonts w:ascii="仿宋_GB2312" w:hAnsi="仿宋" w:eastAsia="仿宋_GB2312" w:cs="Times New Roman"/>
          <w:sz w:val="32"/>
          <w:szCs w:val="32"/>
        </w:rPr>
      </w:pPr>
      <w:r>
        <w:rPr>
          <w:rFonts w:hint="eastAsia" w:ascii="仿宋_GB2312" w:hAnsi="仿宋_GB2312" w:eastAsia="仿宋_GB2312" w:cs="仿宋_GB2312"/>
          <w:color w:val="000000"/>
          <w:sz w:val="32"/>
          <w:szCs w:val="32"/>
        </w:rPr>
        <w:t>反映本部门当年总体支出情况。</w:t>
      </w:r>
      <w:r>
        <w:rPr>
          <w:rFonts w:hint="eastAsia" w:ascii="仿宋_GB2312" w:hAnsi="仿宋" w:eastAsia="仿宋_GB2312" w:cs="仿宋_GB2312"/>
          <w:sz w:val="32"/>
          <w:szCs w:val="32"/>
        </w:rPr>
        <w:t>霸州津霸经济开发区管理委员会</w:t>
      </w:r>
      <w:r>
        <w:rPr>
          <w:rFonts w:ascii="仿宋_GB2312" w:hAnsi="仿宋" w:eastAsia="仿宋_GB2312" w:cs="仿宋_GB2312"/>
          <w:sz w:val="32"/>
          <w:szCs w:val="32"/>
        </w:rPr>
        <w:t>2017</w:t>
      </w:r>
      <w:r>
        <w:rPr>
          <w:rFonts w:hint="eastAsia" w:ascii="仿宋_GB2312" w:hAnsi="仿宋" w:eastAsia="仿宋_GB2312" w:cs="仿宋_GB2312"/>
          <w:sz w:val="32"/>
          <w:szCs w:val="32"/>
        </w:rPr>
        <w:t>年部门决算支出为</w:t>
      </w:r>
      <w:r>
        <w:rPr>
          <w:rFonts w:ascii="仿宋_GB2312" w:hAnsi="仿宋" w:eastAsia="仿宋_GB2312" w:cs="仿宋_GB2312"/>
          <w:sz w:val="32"/>
          <w:szCs w:val="32"/>
        </w:rPr>
        <w:t>236.62</w:t>
      </w:r>
      <w:r>
        <w:rPr>
          <w:rFonts w:hint="eastAsia" w:ascii="仿宋_GB2312" w:hAnsi="仿宋" w:eastAsia="仿宋_GB2312" w:cs="仿宋_GB2312"/>
          <w:sz w:val="32"/>
          <w:szCs w:val="32"/>
        </w:rPr>
        <w:t>万元，其中：基本支出</w:t>
      </w:r>
      <w:r>
        <w:rPr>
          <w:rFonts w:ascii="仿宋_GB2312" w:hAnsi="仿宋" w:eastAsia="仿宋_GB2312" w:cs="仿宋_GB2312"/>
          <w:sz w:val="32"/>
          <w:szCs w:val="32"/>
        </w:rPr>
        <w:t>150.25</w:t>
      </w:r>
      <w:r>
        <w:rPr>
          <w:rFonts w:hint="eastAsia" w:ascii="仿宋_GB2312" w:hAnsi="仿宋" w:eastAsia="仿宋_GB2312" w:cs="仿宋_GB2312"/>
          <w:sz w:val="32"/>
          <w:szCs w:val="32"/>
        </w:rPr>
        <w:t>万元，占比</w:t>
      </w:r>
      <w:r>
        <w:rPr>
          <w:rFonts w:ascii="仿宋_GB2312" w:hAnsi="仿宋" w:eastAsia="仿宋_GB2312" w:cs="仿宋_GB2312"/>
          <w:sz w:val="32"/>
          <w:szCs w:val="32"/>
        </w:rPr>
        <w:t>63.5%</w:t>
      </w:r>
      <w:r>
        <w:rPr>
          <w:rFonts w:hint="eastAsia" w:ascii="仿宋_GB2312" w:hAnsi="仿宋" w:eastAsia="仿宋_GB2312" w:cs="仿宋_GB2312"/>
          <w:sz w:val="32"/>
          <w:szCs w:val="32"/>
        </w:rPr>
        <w:t>，包含人员经费支出</w:t>
      </w:r>
      <w:r>
        <w:rPr>
          <w:rFonts w:ascii="仿宋_GB2312" w:hAnsi="仿宋" w:eastAsia="仿宋_GB2312" w:cs="仿宋_GB2312"/>
          <w:sz w:val="32"/>
          <w:szCs w:val="32"/>
        </w:rPr>
        <w:t>126.49</w:t>
      </w:r>
      <w:r>
        <w:rPr>
          <w:rFonts w:hint="eastAsia" w:ascii="仿宋_GB2312" w:hAnsi="仿宋" w:eastAsia="仿宋_GB2312" w:cs="仿宋_GB2312"/>
          <w:sz w:val="32"/>
          <w:szCs w:val="32"/>
        </w:rPr>
        <w:t>万元和日常公用经费支出</w:t>
      </w:r>
      <w:r>
        <w:rPr>
          <w:rFonts w:ascii="仿宋_GB2312" w:hAnsi="仿宋" w:eastAsia="仿宋_GB2312" w:cs="仿宋_GB2312"/>
          <w:sz w:val="32"/>
          <w:szCs w:val="32"/>
        </w:rPr>
        <w:t>23.76</w:t>
      </w:r>
      <w:r>
        <w:rPr>
          <w:rFonts w:hint="eastAsia" w:ascii="仿宋_GB2312" w:hAnsi="仿宋" w:eastAsia="仿宋_GB2312" w:cs="仿宋_GB2312"/>
          <w:sz w:val="32"/>
          <w:szCs w:val="32"/>
        </w:rPr>
        <w:t>万元；项目支出</w:t>
      </w:r>
      <w:r>
        <w:rPr>
          <w:rFonts w:ascii="仿宋_GB2312" w:hAnsi="仿宋" w:eastAsia="仿宋_GB2312" w:cs="仿宋_GB2312"/>
          <w:sz w:val="32"/>
          <w:szCs w:val="32"/>
        </w:rPr>
        <w:t>86.37</w:t>
      </w:r>
      <w:r>
        <w:rPr>
          <w:rFonts w:hint="eastAsia" w:ascii="仿宋_GB2312" w:hAnsi="仿宋" w:eastAsia="仿宋_GB2312" w:cs="仿宋_GB2312"/>
          <w:sz w:val="32"/>
          <w:szCs w:val="32"/>
        </w:rPr>
        <w:t>万元，占比</w:t>
      </w:r>
      <w:r>
        <w:rPr>
          <w:rFonts w:ascii="仿宋_GB2312" w:hAnsi="仿宋" w:eastAsia="仿宋_GB2312" w:cs="仿宋_GB2312"/>
          <w:sz w:val="32"/>
          <w:szCs w:val="32"/>
        </w:rPr>
        <w:t>36.5%</w:t>
      </w:r>
      <w:r>
        <w:rPr>
          <w:rFonts w:hint="eastAsia" w:ascii="仿宋_GB2312" w:hAnsi="仿宋" w:eastAsia="仿宋_GB2312" w:cs="仿宋_GB2312"/>
          <w:sz w:val="32"/>
          <w:szCs w:val="32"/>
        </w:rPr>
        <w:t>。</w:t>
      </w:r>
    </w:p>
    <w:p>
      <w:pPr>
        <w:snapToGrid w:val="0"/>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（四）财政拨款收入支出决算总体情况说明</w:t>
      </w:r>
    </w:p>
    <w:p>
      <w:pPr>
        <w:widowControl/>
        <w:spacing w:line="560" w:lineRule="exact"/>
        <w:ind w:firstLine="643" w:firstLineChars="200"/>
        <w:rPr>
          <w:rFonts w:ascii="仿宋" w:hAnsi="仿宋" w:eastAsia="仿宋" w:cs="Times New Roman"/>
          <w:b/>
          <w:bCs/>
          <w:sz w:val="32"/>
          <w:szCs w:val="32"/>
        </w:rPr>
      </w:pPr>
      <w:r>
        <w:rPr>
          <w:rFonts w:ascii="仿宋" w:hAnsi="仿宋" w:eastAsia="仿宋" w:cs="仿宋"/>
          <w:b/>
          <w:bCs/>
          <w:sz w:val="32"/>
          <w:szCs w:val="32"/>
        </w:rPr>
        <w:t>1</w:t>
      </w:r>
      <w:r>
        <w:rPr>
          <w:rFonts w:hint="eastAsia" w:ascii="仿宋" w:hAnsi="仿宋" w:eastAsia="仿宋" w:cs="仿宋"/>
          <w:b/>
          <w:bCs/>
          <w:sz w:val="32"/>
          <w:szCs w:val="32"/>
        </w:rPr>
        <w:t>、财政拨款收支与</w:t>
      </w:r>
      <w:r>
        <w:rPr>
          <w:rFonts w:ascii="仿宋" w:hAnsi="仿宋" w:eastAsia="仿宋" w:cs="仿宋"/>
          <w:b/>
          <w:bCs/>
          <w:sz w:val="32"/>
          <w:szCs w:val="32"/>
        </w:rPr>
        <w:t>2016</w:t>
      </w:r>
      <w:r>
        <w:rPr>
          <w:rFonts w:hint="eastAsia" w:ascii="仿宋" w:hAnsi="仿宋" w:eastAsia="仿宋" w:cs="仿宋"/>
          <w:b/>
          <w:bCs/>
          <w:sz w:val="32"/>
          <w:szCs w:val="32"/>
        </w:rPr>
        <w:t>年度决算对比情况</w:t>
      </w:r>
    </w:p>
    <w:p>
      <w:pPr>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霸州津霸经济开发区管理委员会</w:t>
      </w:r>
      <w:r>
        <w:rPr>
          <w:rFonts w:ascii="仿宋_GB2312" w:hAnsi="仿宋" w:eastAsia="仿宋_GB2312" w:cs="仿宋_GB2312"/>
          <w:sz w:val="32"/>
          <w:szCs w:val="32"/>
        </w:rPr>
        <w:t>2017</w:t>
      </w:r>
      <w:r>
        <w:rPr>
          <w:rFonts w:hint="eastAsia" w:ascii="仿宋_GB2312" w:hAnsi="仿宋" w:eastAsia="仿宋_GB2312" w:cs="仿宋_GB2312"/>
          <w:sz w:val="32"/>
          <w:szCs w:val="32"/>
        </w:rPr>
        <w:t>年财政拨款收入决算总计</w:t>
      </w:r>
      <w:r>
        <w:rPr>
          <w:rFonts w:ascii="仿宋_GB2312" w:hAnsi="仿宋" w:eastAsia="仿宋_GB2312" w:cs="仿宋_GB2312"/>
          <w:sz w:val="32"/>
          <w:szCs w:val="32"/>
        </w:rPr>
        <w:t>200.8</w:t>
      </w:r>
      <w:r>
        <w:rPr>
          <w:rFonts w:hint="eastAsia" w:ascii="仿宋_GB2312" w:hAnsi="仿宋" w:eastAsia="仿宋_GB2312" w:cs="仿宋_GB2312"/>
          <w:sz w:val="32"/>
          <w:szCs w:val="32"/>
        </w:rPr>
        <w:t>万元，较</w:t>
      </w:r>
      <w:r>
        <w:rPr>
          <w:rFonts w:ascii="仿宋_GB2312" w:hAnsi="仿宋" w:eastAsia="仿宋_GB2312" w:cs="仿宋_GB2312"/>
          <w:sz w:val="32"/>
          <w:szCs w:val="32"/>
        </w:rPr>
        <w:t>2016</w:t>
      </w:r>
      <w:r>
        <w:rPr>
          <w:rFonts w:hint="eastAsia" w:ascii="仿宋_GB2312" w:hAnsi="仿宋" w:eastAsia="仿宋_GB2312" w:cs="仿宋_GB2312"/>
          <w:sz w:val="32"/>
          <w:szCs w:val="32"/>
        </w:rPr>
        <w:t>年度决算减少</w:t>
      </w:r>
      <w:r>
        <w:rPr>
          <w:rFonts w:ascii="仿宋_GB2312" w:hAnsi="仿宋" w:eastAsia="仿宋_GB2312" w:cs="仿宋_GB2312"/>
          <w:sz w:val="32"/>
          <w:szCs w:val="32"/>
        </w:rPr>
        <w:t>23.64</w:t>
      </w:r>
      <w:r>
        <w:rPr>
          <w:rFonts w:hint="eastAsia" w:ascii="仿宋_GB2312" w:hAnsi="仿宋" w:eastAsia="仿宋_GB2312" w:cs="仿宋_GB2312"/>
          <w:sz w:val="32"/>
          <w:szCs w:val="32"/>
        </w:rPr>
        <w:t>万元，下降</w:t>
      </w:r>
      <w:r>
        <w:rPr>
          <w:rFonts w:ascii="仿宋_GB2312" w:hAnsi="仿宋" w:eastAsia="仿宋_GB2312" w:cs="仿宋_GB2312"/>
          <w:sz w:val="32"/>
          <w:szCs w:val="32"/>
        </w:rPr>
        <w:t>10.53%</w:t>
      </w:r>
      <w:r>
        <w:rPr>
          <w:rFonts w:hint="eastAsia" w:ascii="仿宋_GB2312" w:hAnsi="仿宋" w:eastAsia="仿宋_GB2312" w:cs="仿宋_GB2312"/>
          <w:sz w:val="32"/>
          <w:szCs w:val="32"/>
        </w:rPr>
        <w:t>，主要原因是</w:t>
      </w:r>
      <w:r>
        <w:rPr>
          <w:rFonts w:hint="eastAsia" w:ascii="仿宋_GB2312" w:hAnsi="仿宋_GB2312" w:eastAsia="仿宋_GB2312" w:cs="仿宋_GB2312"/>
          <w:color w:val="000000"/>
          <w:sz w:val="32"/>
          <w:szCs w:val="32"/>
        </w:rPr>
        <w:t>减少了社会保障和就业支出</w:t>
      </w:r>
      <w:r>
        <w:rPr>
          <w:rFonts w:hint="eastAsia" w:ascii="仿宋_GB2312" w:hAnsi="仿宋" w:eastAsia="仿宋_GB2312" w:cs="仿宋_GB2312"/>
          <w:sz w:val="32"/>
          <w:szCs w:val="32"/>
        </w:rPr>
        <w:t>。其中，一般公共预算拨款减少</w:t>
      </w:r>
      <w:r>
        <w:rPr>
          <w:rFonts w:ascii="仿宋_GB2312" w:hAnsi="仿宋" w:eastAsia="仿宋_GB2312" w:cs="仿宋_GB2312"/>
          <w:sz w:val="32"/>
          <w:szCs w:val="32"/>
        </w:rPr>
        <w:t>23.64</w:t>
      </w:r>
      <w:r>
        <w:rPr>
          <w:rFonts w:hint="eastAsia" w:ascii="仿宋_GB2312" w:hAnsi="仿宋" w:eastAsia="仿宋_GB2312" w:cs="仿宋_GB2312"/>
          <w:sz w:val="32"/>
          <w:szCs w:val="32"/>
        </w:rPr>
        <w:t>万元。</w:t>
      </w:r>
      <w:r>
        <w:rPr>
          <w:rFonts w:ascii="仿宋_GB2312" w:hAnsi="仿宋" w:eastAsia="仿宋_GB2312" w:cs="仿宋_GB2312"/>
          <w:sz w:val="32"/>
          <w:szCs w:val="32"/>
        </w:rPr>
        <w:t>2017</w:t>
      </w:r>
      <w:r>
        <w:rPr>
          <w:rFonts w:hint="eastAsia" w:ascii="仿宋_GB2312" w:hAnsi="仿宋" w:eastAsia="仿宋_GB2312" w:cs="仿宋_GB2312"/>
          <w:sz w:val="32"/>
          <w:szCs w:val="32"/>
        </w:rPr>
        <w:t>年财政拨款支出决算总计</w:t>
      </w:r>
      <w:r>
        <w:rPr>
          <w:rFonts w:ascii="仿宋_GB2312" w:hAnsi="仿宋" w:eastAsia="仿宋_GB2312" w:cs="仿宋_GB2312"/>
          <w:sz w:val="32"/>
          <w:szCs w:val="32"/>
        </w:rPr>
        <w:t>236.62</w:t>
      </w:r>
      <w:r>
        <w:rPr>
          <w:rFonts w:hint="eastAsia" w:ascii="仿宋_GB2312" w:hAnsi="仿宋" w:eastAsia="仿宋_GB2312" w:cs="仿宋_GB2312"/>
          <w:sz w:val="32"/>
          <w:szCs w:val="32"/>
        </w:rPr>
        <w:t>万元，较</w:t>
      </w:r>
      <w:r>
        <w:rPr>
          <w:rFonts w:ascii="仿宋_GB2312" w:hAnsi="仿宋" w:eastAsia="仿宋_GB2312" w:cs="仿宋_GB2312"/>
          <w:sz w:val="32"/>
          <w:szCs w:val="32"/>
        </w:rPr>
        <w:t>2016</w:t>
      </w:r>
      <w:r>
        <w:rPr>
          <w:rFonts w:hint="eastAsia" w:ascii="仿宋_GB2312" w:hAnsi="仿宋" w:eastAsia="仿宋_GB2312" w:cs="仿宋_GB2312"/>
          <w:sz w:val="32"/>
          <w:szCs w:val="32"/>
        </w:rPr>
        <w:t>年度决算增加</w:t>
      </w:r>
      <w:r>
        <w:rPr>
          <w:rFonts w:ascii="仿宋_GB2312" w:hAnsi="仿宋" w:eastAsia="仿宋_GB2312" w:cs="仿宋_GB2312"/>
          <w:sz w:val="32"/>
          <w:szCs w:val="32"/>
        </w:rPr>
        <w:t>17.86</w:t>
      </w:r>
      <w:r>
        <w:rPr>
          <w:rFonts w:hint="eastAsia" w:ascii="仿宋_GB2312" w:hAnsi="仿宋" w:eastAsia="仿宋_GB2312" w:cs="仿宋_GB2312"/>
          <w:sz w:val="32"/>
          <w:szCs w:val="32"/>
        </w:rPr>
        <w:t>万元，增长</w:t>
      </w:r>
      <w:r>
        <w:rPr>
          <w:rFonts w:ascii="仿宋_GB2312" w:hAnsi="仿宋" w:eastAsia="仿宋_GB2312" w:cs="仿宋_GB2312"/>
          <w:sz w:val="32"/>
          <w:szCs w:val="32"/>
        </w:rPr>
        <w:t>8.16%</w:t>
      </w:r>
      <w:r>
        <w:rPr>
          <w:rFonts w:hint="eastAsia" w:ascii="仿宋_GB2312" w:hAnsi="仿宋" w:eastAsia="仿宋_GB2312" w:cs="仿宋_GB2312"/>
          <w:sz w:val="32"/>
          <w:szCs w:val="32"/>
        </w:rPr>
        <w:t>，主要原因是增加</w:t>
      </w:r>
      <w:r>
        <w:rPr>
          <w:rFonts w:hint="eastAsia" w:ascii="仿宋_GB2312" w:hAnsi="仿宋_GB2312" w:eastAsia="仿宋_GB2312" w:cs="仿宋_GB2312"/>
          <w:color w:val="000000"/>
          <w:sz w:val="32"/>
          <w:szCs w:val="32"/>
        </w:rPr>
        <w:t>人员经费支出</w:t>
      </w:r>
      <w:r>
        <w:rPr>
          <w:rFonts w:hint="eastAsia" w:ascii="仿宋_GB2312" w:hAnsi="仿宋" w:eastAsia="仿宋_GB2312" w:cs="仿宋_GB2312"/>
          <w:sz w:val="32"/>
          <w:szCs w:val="32"/>
        </w:rPr>
        <w:t>。其中基本支出增加</w:t>
      </w:r>
      <w:r>
        <w:rPr>
          <w:rFonts w:ascii="仿宋_GB2312" w:hAnsi="仿宋" w:eastAsia="仿宋_GB2312" w:cs="仿宋_GB2312"/>
          <w:sz w:val="32"/>
          <w:szCs w:val="32"/>
        </w:rPr>
        <w:t>29.83</w:t>
      </w:r>
      <w:r>
        <w:rPr>
          <w:rFonts w:hint="eastAsia" w:ascii="仿宋_GB2312" w:hAnsi="仿宋" w:eastAsia="仿宋_GB2312" w:cs="仿宋_GB2312"/>
          <w:sz w:val="32"/>
          <w:szCs w:val="32"/>
        </w:rPr>
        <w:t>万元，项目支出减少</w:t>
      </w:r>
      <w:r>
        <w:rPr>
          <w:rFonts w:ascii="仿宋_GB2312" w:hAnsi="仿宋" w:eastAsia="仿宋_GB2312" w:cs="仿宋_GB2312"/>
          <w:sz w:val="32"/>
          <w:szCs w:val="32"/>
        </w:rPr>
        <w:t>11.97</w:t>
      </w:r>
      <w:r>
        <w:rPr>
          <w:rFonts w:hint="eastAsia" w:ascii="仿宋_GB2312" w:hAnsi="仿宋" w:eastAsia="仿宋_GB2312" w:cs="仿宋_GB2312"/>
          <w:sz w:val="32"/>
          <w:szCs w:val="32"/>
        </w:rPr>
        <w:t>万元。</w:t>
      </w:r>
    </w:p>
    <w:p>
      <w:pPr>
        <w:widowControl/>
        <w:spacing w:line="560" w:lineRule="exact"/>
        <w:ind w:firstLine="643" w:firstLineChars="200"/>
        <w:rPr>
          <w:rFonts w:ascii="仿宋" w:hAnsi="仿宋" w:eastAsia="仿宋" w:cs="Times New Roman"/>
          <w:b/>
          <w:bCs/>
          <w:sz w:val="32"/>
          <w:szCs w:val="32"/>
        </w:rPr>
      </w:pPr>
      <w:r>
        <w:rPr>
          <w:rFonts w:ascii="仿宋" w:hAnsi="仿宋" w:eastAsia="仿宋" w:cs="仿宋"/>
          <w:b/>
          <w:bCs/>
          <w:sz w:val="32"/>
          <w:szCs w:val="32"/>
        </w:rPr>
        <w:t>2</w:t>
      </w:r>
      <w:r>
        <w:rPr>
          <w:rFonts w:hint="eastAsia" w:ascii="仿宋" w:hAnsi="仿宋" w:eastAsia="仿宋" w:cs="仿宋"/>
          <w:b/>
          <w:bCs/>
          <w:sz w:val="32"/>
          <w:szCs w:val="32"/>
        </w:rPr>
        <w:t>、财政拨款收支与年初预算数对比情况</w:t>
      </w:r>
    </w:p>
    <w:p>
      <w:pPr>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霸州津霸经济开发区管理委员会</w:t>
      </w:r>
      <w:r>
        <w:rPr>
          <w:rFonts w:ascii="仿宋_GB2312" w:hAnsi="仿宋" w:eastAsia="仿宋_GB2312" w:cs="仿宋_GB2312"/>
          <w:sz w:val="32"/>
          <w:szCs w:val="32"/>
        </w:rPr>
        <w:t>2017</w:t>
      </w:r>
      <w:r>
        <w:rPr>
          <w:rFonts w:hint="eastAsia" w:ascii="仿宋_GB2312" w:hAnsi="仿宋" w:eastAsia="仿宋_GB2312" w:cs="仿宋_GB2312"/>
          <w:sz w:val="32"/>
          <w:szCs w:val="32"/>
        </w:rPr>
        <w:t>年财政拨款收入决算总计</w:t>
      </w:r>
      <w:r>
        <w:rPr>
          <w:rFonts w:ascii="仿宋_GB2312" w:hAnsi="仿宋" w:eastAsia="仿宋_GB2312" w:cs="仿宋_GB2312"/>
          <w:sz w:val="32"/>
          <w:szCs w:val="32"/>
        </w:rPr>
        <w:t>200.8</w:t>
      </w:r>
      <w:r>
        <w:rPr>
          <w:rFonts w:hint="eastAsia" w:ascii="仿宋_GB2312" w:hAnsi="仿宋" w:eastAsia="仿宋_GB2312" w:cs="仿宋_GB2312"/>
          <w:sz w:val="32"/>
          <w:szCs w:val="32"/>
        </w:rPr>
        <w:t>万元，较年初预算减少</w:t>
      </w:r>
      <w:r>
        <w:rPr>
          <w:rFonts w:ascii="仿宋_GB2312" w:hAnsi="仿宋" w:eastAsia="仿宋_GB2312" w:cs="仿宋_GB2312"/>
          <w:sz w:val="32"/>
          <w:szCs w:val="32"/>
        </w:rPr>
        <w:t>60.73</w:t>
      </w:r>
      <w:r>
        <w:rPr>
          <w:rFonts w:hint="eastAsia" w:ascii="仿宋_GB2312" w:hAnsi="仿宋" w:eastAsia="仿宋_GB2312" w:cs="仿宋_GB2312"/>
          <w:sz w:val="32"/>
          <w:szCs w:val="32"/>
        </w:rPr>
        <w:t>万元，下降</w:t>
      </w:r>
      <w:r>
        <w:rPr>
          <w:rFonts w:ascii="仿宋_GB2312" w:hAnsi="仿宋" w:eastAsia="仿宋_GB2312" w:cs="仿宋_GB2312"/>
          <w:sz w:val="32"/>
          <w:szCs w:val="32"/>
        </w:rPr>
        <w:t>23.22%</w:t>
      </w:r>
      <w:r>
        <w:rPr>
          <w:rFonts w:hint="eastAsia" w:ascii="仿宋_GB2312" w:hAnsi="仿宋"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color w:val="000000"/>
          <w:sz w:val="32"/>
          <w:szCs w:val="32"/>
        </w:rPr>
        <w:t>开发区改革人事变动</w:t>
      </w:r>
      <w:r>
        <w:rPr>
          <w:rFonts w:hint="eastAsia" w:ascii="仿宋_GB2312" w:hAnsi="仿宋" w:eastAsia="仿宋_GB2312" w:cs="仿宋_GB2312"/>
          <w:sz w:val="32"/>
          <w:szCs w:val="32"/>
        </w:rPr>
        <w:t>。其中，一般公共预算拨款减少</w:t>
      </w:r>
      <w:r>
        <w:rPr>
          <w:rFonts w:ascii="仿宋_GB2312" w:hAnsi="仿宋" w:eastAsia="仿宋_GB2312" w:cs="仿宋_GB2312"/>
          <w:sz w:val="32"/>
          <w:szCs w:val="32"/>
        </w:rPr>
        <w:t>60.73</w:t>
      </w:r>
      <w:r>
        <w:rPr>
          <w:rFonts w:hint="eastAsia" w:ascii="仿宋_GB2312" w:hAnsi="仿宋" w:eastAsia="仿宋_GB2312" w:cs="仿宋_GB2312"/>
          <w:sz w:val="32"/>
          <w:szCs w:val="32"/>
        </w:rPr>
        <w:t>万元。</w:t>
      </w:r>
      <w:r>
        <w:rPr>
          <w:rFonts w:ascii="仿宋_GB2312" w:hAnsi="仿宋" w:eastAsia="仿宋_GB2312" w:cs="仿宋_GB2312"/>
          <w:sz w:val="32"/>
          <w:szCs w:val="32"/>
        </w:rPr>
        <w:t>2017</w:t>
      </w:r>
      <w:r>
        <w:rPr>
          <w:rFonts w:hint="eastAsia" w:ascii="仿宋_GB2312" w:hAnsi="仿宋" w:eastAsia="仿宋_GB2312" w:cs="仿宋_GB2312"/>
          <w:sz w:val="32"/>
          <w:szCs w:val="32"/>
        </w:rPr>
        <w:t>年财政拨款支出决算总计</w:t>
      </w:r>
      <w:r>
        <w:rPr>
          <w:rFonts w:ascii="仿宋_GB2312" w:hAnsi="仿宋" w:eastAsia="仿宋_GB2312" w:cs="仿宋_GB2312"/>
          <w:sz w:val="32"/>
          <w:szCs w:val="32"/>
        </w:rPr>
        <w:t>236.62</w:t>
      </w:r>
      <w:r>
        <w:rPr>
          <w:rFonts w:hint="eastAsia" w:ascii="仿宋_GB2312" w:hAnsi="仿宋" w:eastAsia="仿宋_GB2312" w:cs="仿宋_GB2312"/>
          <w:sz w:val="32"/>
          <w:szCs w:val="32"/>
        </w:rPr>
        <w:t>万元，较年初预算减少</w:t>
      </w:r>
      <w:r>
        <w:rPr>
          <w:rFonts w:ascii="仿宋_GB2312" w:hAnsi="仿宋" w:eastAsia="仿宋_GB2312" w:cs="仿宋_GB2312"/>
          <w:sz w:val="32"/>
          <w:szCs w:val="32"/>
        </w:rPr>
        <w:t>24.91</w:t>
      </w:r>
      <w:r>
        <w:rPr>
          <w:rFonts w:hint="eastAsia" w:ascii="仿宋_GB2312" w:hAnsi="仿宋" w:eastAsia="仿宋_GB2312" w:cs="仿宋_GB2312"/>
          <w:sz w:val="32"/>
          <w:szCs w:val="32"/>
        </w:rPr>
        <w:t>万元，下降</w:t>
      </w:r>
      <w:r>
        <w:rPr>
          <w:rFonts w:ascii="仿宋_GB2312" w:hAnsi="仿宋" w:eastAsia="仿宋_GB2312" w:cs="仿宋_GB2312"/>
          <w:sz w:val="32"/>
          <w:szCs w:val="32"/>
        </w:rPr>
        <w:t>9.52%</w:t>
      </w:r>
      <w:r>
        <w:rPr>
          <w:rFonts w:hint="eastAsia" w:ascii="仿宋_GB2312" w:hAnsi="仿宋" w:eastAsia="仿宋_GB2312" w:cs="仿宋_GB2312"/>
          <w:sz w:val="32"/>
          <w:szCs w:val="32"/>
        </w:rPr>
        <w:t>，主要原因是</w:t>
      </w:r>
      <w:r>
        <w:rPr>
          <w:rFonts w:hint="eastAsia" w:ascii="仿宋_GB2312" w:hAnsi="仿宋_GB2312" w:eastAsia="仿宋_GB2312" w:cs="仿宋_GB2312"/>
          <w:color w:val="000000"/>
          <w:sz w:val="32"/>
          <w:szCs w:val="32"/>
        </w:rPr>
        <w:t>开发区改革人事变动</w:t>
      </w:r>
      <w:r>
        <w:rPr>
          <w:rFonts w:hint="eastAsia" w:ascii="仿宋_GB2312" w:hAnsi="仿宋" w:eastAsia="仿宋_GB2312" w:cs="仿宋_GB2312"/>
          <w:sz w:val="32"/>
          <w:szCs w:val="32"/>
        </w:rPr>
        <w:t>。其中基本支出减少</w:t>
      </w:r>
      <w:r>
        <w:rPr>
          <w:rFonts w:ascii="仿宋_GB2312" w:hAnsi="仿宋" w:eastAsia="仿宋_GB2312" w:cs="仿宋_GB2312"/>
          <w:sz w:val="32"/>
          <w:szCs w:val="32"/>
        </w:rPr>
        <w:t>10.02</w:t>
      </w:r>
      <w:r>
        <w:rPr>
          <w:rFonts w:hint="eastAsia" w:ascii="仿宋_GB2312" w:hAnsi="仿宋" w:eastAsia="仿宋_GB2312" w:cs="仿宋_GB2312"/>
          <w:sz w:val="32"/>
          <w:szCs w:val="32"/>
        </w:rPr>
        <w:t>万元，项目支出减少</w:t>
      </w:r>
      <w:r>
        <w:rPr>
          <w:rFonts w:ascii="仿宋_GB2312" w:hAnsi="仿宋" w:eastAsia="仿宋_GB2312" w:cs="仿宋_GB2312"/>
          <w:sz w:val="32"/>
          <w:szCs w:val="32"/>
        </w:rPr>
        <w:t>14.89</w:t>
      </w:r>
      <w:r>
        <w:rPr>
          <w:rFonts w:hint="eastAsia" w:ascii="仿宋_GB2312" w:hAnsi="仿宋" w:eastAsia="仿宋_GB2312" w:cs="仿宋_GB2312"/>
          <w:sz w:val="32"/>
          <w:szCs w:val="32"/>
        </w:rPr>
        <w:t>万元。</w:t>
      </w:r>
    </w:p>
    <w:p>
      <w:pPr>
        <w:snapToGrid w:val="0"/>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（五）“三公”经费支出决算情况说明</w:t>
      </w:r>
    </w:p>
    <w:p>
      <w:pPr>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2017</w:t>
      </w:r>
      <w:r>
        <w:rPr>
          <w:rFonts w:hint="eastAsia" w:ascii="仿宋_GB2312" w:hAnsi="仿宋" w:eastAsia="仿宋_GB2312" w:cs="仿宋_GB2312"/>
          <w:sz w:val="32"/>
          <w:szCs w:val="32"/>
        </w:rPr>
        <w:t>年度部门“三公”经费支出</w:t>
      </w:r>
      <w:r>
        <w:rPr>
          <w:rFonts w:ascii="仿宋_GB2312" w:hAnsi="仿宋" w:eastAsia="仿宋_GB2312" w:cs="仿宋_GB2312"/>
          <w:sz w:val="32"/>
          <w:szCs w:val="32"/>
        </w:rPr>
        <w:t>6.17</w:t>
      </w:r>
      <w:r>
        <w:rPr>
          <w:rFonts w:hint="eastAsia" w:ascii="仿宋_GB2312" w:hAnsi="仿宋" w:eastAsia="仿宋_GB2312" w:cs="仿宋_GB2312"/>
          <w:sz w:val="32"/>
          <w:szCs w:val="32"/>
        </w:rPr>
        <w:t>万元，比预算减少</w:t>
      </w:r>
      <w:r>
        <w:rPr>
          <w:rFonts w:ascii="仿宋_GB2312" w:hAnsi="仿宋" w:eastAsia="仿宋_GB2312" w:cs="仿宋_GB2312"/>
          <w:sz w:val="32"/>
          <w:szCs w:val="32"/>
        </w:rPr>
        <w:t>1.33</w:t>
      </w:r>
      <w:r>
        <w:rPr>
          <w:rFonts w:hint="eastAsia" w:ascii="仿宋_GB2312" w:hAnsi="仿宋" w:eastAsia="仿宋_GB2312" w:cs="仿宋_GB2312"/>
          <w:sz w:val="32"/>
          <w:szCs w:val="32"/>
        </w:rPr>
        <w:t>万元，比</w:t>
      </w:r>
      <w:r>
        <w:rPr>
          <w:rFonts w:ascii="仿宋_GB2312" w:hAnsi="仿宋" w:eastAsia="仿宋_GB2312" w:cs="仿宋_GB2312"/>
          <w:sz w:val="32"/>
          <w:szCs w:val="32"/>
        </w:rPr>
        <w:t>2016</w:t>
      </w:r>
      <w:r>
        <w:rPr>
          <w:rFonts w:hint="eastAsia" w:ascii="仿宋_GB2312" w:hAnsi="仿宋" w:eastAsia="仿宋_GB2312" w:cs="仿宋_GB2312"/>
          <w:sz w:val="32"/>
          <w:szCs w:val="32"/>
        </w:rPr>
        <w:t>年度决算增加</w:t>
      </w:r>
      <w:r>
        <w:rPr>
          <w:rFonts w:ascii="仿宋_GB2312" w:hAnsi="仿宋" w:eastAsia="仿宋_GB2312" w:cs="仿宋_GB2312"/>
          <w:sz w:val="32"/>
          <w:szCs w:val="32"/>
        </w:rPr>
        <w:t>2.78</w:t>
      </w:r>
      <w:r>
        <w:rPr>
          <w:rFonts w:hint="eastAsia" w:ascii="仿宋_GB2312" w:hAnsi="仿宋" w:eastAsia="仿宋_GB2312" w:cs="仿宋_GB2312"/>
          <w:sz w:val="32"/>
          <w:szCs w:val="32"/>
        </w:rPr>
        <w:t>万元。原因是增加公务用车编制数，增加公务用车运行维护费。其中：因公出国（境）费</w:t>
      </w:r>
      <w:r>
        <w:rPr>
          <w:rFonts w:ascii="仿宋_GB2312" w:hAnsi="仿宋" w:eastAsia="仿宋_GB2312" w:cs="仿宋_GB2312"/>
          <w:sz w:val="32"/>
          <w:szCs w:val="32"/>
        </w:rPr>
        <w:t>0</w:t>
      </w:r>
      <w:r>
        <w:rPr>
          <w:rFonts w:hint="eastAsia" w:ascii="仿宋_GB2312" w:hAnsi="仿宋" w:eastAsia="仿宋_GB2312" w:cs="仿宋_GB2312"/>
          <w:sz w:val="32"/>
          <w:szCs w:val="32"/>
        </w:rPr>
        <w:t>万元（本单位</w:t>
      </w:r>
      <w:r>
        <w:rPr>
          <w:rFonts w:ascii="仿宋_GB2312" w:hAnsi="仿宋" w:eastAsia="仿宋_GB2312" w:cs="仿宋_GB2312"/>
          <w:sz w:val="32"/>
          <w:szCs w:val="32"/>
        </w:rPr>
        <w:t>2017</w:t>
      </w:r>
      <w:r>
        <w:rPr>
          <w:rFonts w:hint="eastAsia" w:ascii="仿宋_GB2312" w:hAnsi="仿宋" w:eastAsia="仿宋_GB2312" w:cs="仿宋_GB2312"/>
          <w:sz w:val="32"/>
          <w:szCs w:val="32"/>
        </w:rPr>
        <w:t>年度组织出国（境）团组</w:t>
      </w:r>
      <w:r>
        <w:rPr>
          <w:rFonts w:ascii="仿宋_GB2312" w:hAnsi="仿宋" w:eastAsia="仿宋_GB2312" w:cs="仿宋_GB2312"/>
          <w:sz w:val="32"/>
          <w:szCs w:val="32"/>
        </w:rPr>
        <w:t>0</w:t>
      </w:r>
      <w:r>
        <w:rPr>
          <w:rFonts w:hint="eastAsia" w:ascii="仿宋_GB2312" w:hAnsi="仿宋" w:eastAsia="仿宋_GB2312" w:cs="仿宋_GB2312"/>
          <w:sz w:val="32"/>
          <w:szCs w:val="32"/>
        </w:rPr>
        <w:t>个，因公出国（境）人次数</w:t>
      </w:r>
      <w:r>
        <w:rPr>
          <w:rFonts w:ascii="仿宋_GB2312" w:hAnsi="仿宋" w:eastAsia="仿宋_GB2312" w:cs="仿宋_GB2312"/>
          <w:sz w:val="32"/>
          <w:szCs w:val="32"/>
        </w:rPr>
        <w:t>0</w:t>
      </w:r>
      <w:r>
        <w:rPr>
          <w:rFonts w:hint="eastAsia" w:ascii="仿宋_GB2312" w:hAnsi="仿宋" w:eastAsia="仿宋_GB2312" w:cs="仿宋_GB2312"/>
          <w:sz w:val="32"/>
          <w:szCs w:val="32"/>
        </w:rPr>
        <w:t>人），与预算持平，比</w:t>
      </w:r>
      <w:r>
        <w:rPr>
          <w:rFonts w:ascii="仿宋_GB2312" w:hAnsi="仿宋" w:eastAsia="仿宋_GB2312" w:cs="仿宋_GB2312"/>
          <w:sz w:val="32"/>
          <w:szCs w:val="32"/>
        </w:rPr>
        <w:t>2016</w:t>
      </w:r>
      <w:r>
        <w:rPr>
          <w:rFonts w:hint="eastAsia" w:ascii="仿宋_GB2312" w:hAnsi="仿宋" w:eastAsia="仿宋_GB2312" w:cs="仿宋_GB2312"/>
          <w:sz w:val="32"/>
          <w:szCs w:val="32"/>
        </w:rPr>
        <w:t>年度决算持平；公务用车购置及运行维护费</w:t>
      </w:r>
      <w:r>
        <w:rPr>
          <w:rFonts w:ascii="仿宋_GB2312" w:hAnsi="仿宋" w:eastAsia="仿宋_GB2312" w:cs="仿宋_GB2312"/>
          <w:sz w:val="32"/>
          <w:szCs w:val="32"/>
        </w:rPr>
        <w:t>6.17</w:t>
      </w:r>
      <w:r>
        <w:rPr>
          <w:rFonts w:hint="eastAsia" w:ascii="仿宋_GB2312" w:hAnsi="仿宋" w:eastAsia="仿宋_GB2312" w:cs="仿宋_GB2312"/>
          <w:sz w:val="32"/>
          <w:szCs w:val="32"/>
        </w:rPr>
        <w:t>万元（公务用车购置数量</w:t>
      </w:r>
      <w:r>
        <w:rPr>
          <w:rFonts w:ascii="仿宋_GB2312" w:hAnsi="仿宋" w:eastAsia="仿宋_GB2312" w:cs="仿宋_GB2312"/>
          <w:sz w:val="32"/>
          <w:szCs w:val="32"/>
        </w:rPr>
        <w:t>0</w:t>
      </w:r>
      <w:r>
        <w:rPr>
          <w:rFonts w:hint="eastAsia" w:ascii="仿宋_GB2312" w:hAnsi="仿宋" w:eastAsia="仿宋_GB2312" w:cs="仿宋_GB2312"/>
          <w:sz w:val="32"/>
          <w:szCs w:val="32"/>
        </w:rPr>
        <w:t>辆，购置金额</w:t>
      </w:r>
      <w:r>
        <w:rPr>
          <w:rFonts w:ascii="仿宋_GB2312" w:hAnsi="仿宋" w:eastAsia="仿宋_GB2312" w:cs="仿宋_GB2312"/>
          <w:sz w:val="32"/>
          <w:szCs w:val="32"/>
        </w:rPr>
        <w:t>0</w:t>
      </w:r>
      <w:r>
        <w:rPr>
          <w:rFonts w:hint="eastAsia" w:ascii="仿宋_GB2312" w:hAnsi="仿宋" w:eastAsia="仿宋_GB2312" w:cs="仿宋_GB2312"/>
          <w:sz w:val="32"/>
          <w:szCs w:val="32"/>
        </w:rPr>
        <w:t>万元，公车运行维护费</w:t>
      </w:r>
      <w:r>
        <w:rPr>
          <w:rFonts w:ascii="仿宋_GB2312" w:hAnsi="仿宋" w:eastAsia="仿宋_GB2312" w:cs="仿宋_GB2312"/>
          <w:sz w:val="32"/>
          <w:szCs w:val="32"/>
        </w:rPr>
        <w:t>6.17</w:t>
      </w:r>
      <w:r>
        <w:rPr>
          <w:rFonts w:hint="eastAsia" w:ascii="仿宋_GB2312" w:hAnsi="仿宋" w:eastAsia="仿宋_GB2312" w:cs="仿宋_GB2312"/>
          <w:sz w:val="32"/>
          <w:szCs w:val="32"/>
        </w:rPr>
        <w:t>万元，年末公务用车保有量</w:t>
      </w:r>
      <w:r>
        <w:rPr>
          <w:rFonts w:ascii="仿宋_GB2312" w:hAnsi="仿宋" w:eastAsia="仿宋_GB2312" w:cs="仿宋_GB2312"/>
          <w:sz w:val="32"/>
          <w:szCs w:val="32"/>
        </w:rPr>
        <w:t>2</w:t>
      </w:r>
      <w:r>
        <w:rPr>
          <w:rFonts w:hint="eastAsia" w:ascii="仿宋_GB2312" w:hAnsi="仿宋" w:eastAsia="仿宋_GB2312" w:cs="仿宋_GB2312"/>
          <w:sz w:val="32"/>
          <w:szCs w:val="32"/>
        </w:rPr>
        <w:t>辆），比预算减少</w:t>
      </w:r>
      <w:r>
        <w:rPr>
          <w:rFonts w:ascii="仿宋_GB2312" w:hAnsi="仿宋" w:eastAsia="仿宋_GB2312" w:cs="仿宋_GB2312"/>
          <w:sz w:val="32"/>
          <w:szCs w:val="32"/>
        </w:rPr>
        <w:t>1.33</w:t>
      </w:r>
      <w:r>
        <w:rPr>
          <w:rFonts w:hint="eastAsia" w:ascii="仿宋_GB2312" w:hAnsi="仿宋" w:eastAsia="仿宋_GB2312" w:cs="仿宋_GB2312"/>
          <w:sz w:val="32"/>
          <w:szCs w:val="32"/>
        </w:rPr>
        <w:t>万元，比</w:t>
      </w:r>
      <w:r>
        <w:rPr>
          <w:rFonts w:ascii="仿宋_GB2312" w:hAnsi="仿宋" w:eastAsia="仿宋_GB2312" w:cs="仿宋_GB2312"/>
          <w:sz w:val="32"/>
          <w:szCs w:val="32"/>
        </w:rPr>
        <w:t>2016</w:t>
      </w:r>
      <w:r>
        <w:rPr>
          <w:rFonts w:hint="eastAsia" w:ascii="仿宋_GB2312" w:hAnsi="仿宋" w:eastAsia="仿宋_GB2312" w:cs="仿宋_GB2312"/>
          <w:sz w:val="32"/>
          <w:szCs w:val="32"/>
        </w:rPr>
        <w:t>年度决算增加</w:t>
      </w:r>
      <w:r>
        <w:rPr>
          <w:rFonts w:ascii="仿宋_GB2312" w:hAnsi="仿宋" w:eastAsia="仿宋_GB2312" w:cs="仿宋_GB2312"/>
          <w:sz w:val="32"/>
          <w:szCs w:val="32"/>
        </w:rPr>
        <w:t>2.78</w:t>
      </w:r>
      <w:r>
        <w:rPr>
          <w:rFonts w:hint="eastAsia" w:ascii="仿宋_GB2312" w:hAnsi="仿宋" w:eastAsia="仿宋_GB2312" w:cs="仿宋_GB2312"/>
          <w:sz w:val="32"/>
          <w:szCs w:val="32"/>
        </w:rPr>
        <w:t>万元，原因是增加公务用车编制数，增加公务用车运行维护费；公务接待费</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2017</w:t>
      </w:r>
      <w:r>
        <w:rPr>
          <w:rFonts w:hint="eastAsia" w:ascii="仿宋_GB2312" w:hAnsi="仿宋" w:eastAsia="仿宋_GB2312" w:cs="仿宋_GB2312"/>
          <w:sz w:val="32"/>
          <w:szCs w:val="32"/>
        </w:rPr>
        <w:t>年度国内公务接待</w:t>
      </w:r>
      <w:r>
        <w:rPr>
          <w:rFonts w:ascii="仿宋_GB2312" w:hAnsi="仿宋" w:eastAsia="仿宋_GB2312" w:cs="仿宋_GB2312"/>
          <w:sz w:val="32"/>
          <w:szCs w:val="32"/>
        </w:rPr>
        <w:t>0</w:t>
      </w:r>
      <w:r>
        <w:rPr>
          <w:rFonts w:hint="eastAsia" w:ascii="仿宋_GB2312" w:hAnsi="仿宋" w:eastAsia="仿宋_GB2312" w:cs="仿宋_GB2312"/>
          <w:sz w:val="32"/>
          <w:szCs w:val="32"/>
        </w:rPr>
        <w:t>批次，合计接待</w:t>
      </w:r>
      <w:r>
        <w:rPr>
          <w:rFonts w:ascii="仿宋_GB2312" w:hAnsi="仿宋" w:eastAsia="仿宋_GB2312" w:cs="仿宋_GB2312"/>
          <w:sz w:val="32"/>
          <w:szCs w:val="32"/>
        </w:rPr>
        <w:t>0</w:t>
      </w:r>
      <w:r>
        <w:rPr>
          <w:rFonts w:hint="eastAsia" w:ascii="仿宋_GB2312" w:hAnsi="仿宋" w:eastAsia="仿宋_GB2312" w:cs="仿宋_GB2312"/>
          <w:sz w:val="32"/>
          <w:szCs w:val="32"/>
        </w:rPr>
        <w:t>人次），与预算持平，与</w:t>
      </w:r>
      <w:r>
        <w:rPr>
          <w:rFonts w:ascii="仿宋_GB2312" w:hAnsi="仿宋" w:eastAsia="仿宋_GB2312" w:cs="仿宋_GB2312"/>
          <w:sz w:val="32"/>
          <w:szCs w:val="32"/>
        </w:rPr>
        <w:t>2016</w:t>
      </w:r>
      <w:r>
        <w:rPr>
          <w:rFonts w:hint="eastAsia" w:ascii="仿宋_GB2312" w:hAnsi="仿宋" w:eastAsia="仿宋_GB2312" w:cs="仿宋_GB2312"/>
          <w:sz w:val="32"/>
          <w:szCs w:val="32"/>
        </w:rPr>
        <w:t>年度决算持平。</w:t>
      </w:r>
    </w:p>
    <w:p>
      <w:pPr>
        <w:snapToGrid w:val="0"/>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（六）预算绩效管理工作开展情况说明</w:t>
      </w:r>
    </w:p>
    <w:p>
      <w:pPr>
        <w:ind w:firstLine="643" w:firstLineChars="200"/>
        <w:rPr>
          <w:rFonts w:hint="eastAsia" w:ascii="仿宋_GB2312" w:hAnsi="仿宋" w:eastAsia="仿宋_GB2312" w:cs="仿宋_GB2312"/>
          <w:b/>
          <w:bCs/>
          <w:sz w:val="32"/>
          <w:szCs w:val="32"/>
        </w:rPr>
      </w:pPr>
      <w:bookmarkStart w:id="0" w:name="_GoBack"/>
      <w:r>
        <w:rPr>
          <w:rFonts w:hint="eastAsia" w:ascii="仿宋_GB2312" w:hAnsi="仿宋" w:eastAsia="仿宋_GB2312" w:cs="仿宋_GB2312"/>
          <w:b/>
          <w:bCs/>
          <w:sz w:val="32"/>
          <w:szCs w:val="32"/>
        </w:rPr>
        <w:t>（1）、预算绩效管理工作开展情况</w:t>
      </w:r>
    </w:p>
    <w:bookmarkEnd w:id="0"/>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根据市财政预算绩效管理要求，以“部门职责—工作活动”为依据，确定部门预算项目和预算额度，清晰描述预算项目开支范围和内容，确定预算项目的绩效目标、绩效指标和评价标准，为预算绩效控制、绩效分析、绩效评价打下好的基础。</w:t>
      </w:r>
    </w:p>
    <w:p>
      <w:pPr>
        <w:ind w:firstLine="643" w:firstLineChars="200"/>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（2）、预算项目绩效评价开展情况</w:t>
      </w: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通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纲要规划成果完成率为95%，绩效指标评价为优，综合利用率为90%，绩效指标评价为良。</w:t>
      </w:r>
    </w:p>
    <w:p>
      <w:pPr>
        <w:ind w:firstLine="643" w:firstLineChars="200"/>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（3）、预算绩效管理自评情况</w:t>
      </w: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按照市财政预算绩效管理要求，对2017年我部门绩效预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（七）其他重要事项的说明</w:t>
      </w:r>
    </w:p>
    <w:p>
      <w:pPr>
        <w:ind w:left="210" w:leftChars="100" w:firstLine="482" w:firstLineChars="150"/>
        <w:rPr>
          <w:rFonts w:ascii="仿宋_GB2312" w:hAnsi="仿宋" w:eastAsia="仿宋_GB2312" w:cs="Times New Roman"/>
          <w:sz w:val="32"/>
          <w:szCs w:val="32"/>
        </w:rPr>
      </w:pPr>
      <w:r>
        <w:rPr>
          <w:rFonts w:ascii="仿宋_GB2312" w:hAnsi="仿宋_GB2312" w:eastAsia="仿宋_GB2312" w:cs="仿宋_GB2312"/>
          <w:b/>
          <w:bCs/>
          <w:color w:val="000000"/>
          <w:kern w:val="0"/>
          <w:sz w:val="32"/>
          <w:szCs w:val="32"/>
          <w:shd w:val="clear" w:color="auto" w:fill="FFFFFF"/>
        </w:rPr>
        <w:t>1</w:t>
      </w:r>
      <w:r>
        <w:rPr>
          <w:rFonts w:hint="eastAsia" w:ascii="仿宋_GB2312" w:hAnsi="仿宋_GB2312" w:eastAsia="仿宋_GB2312" w:cs="仿宋_GB2312"/>
          <w:b/>
          <w:bCs/>
          <w:color w:val="000000"/>
          <w:kern w:val="0"/>
          <w:sz w:val="32"/>
          <w:szCs w:val="32"/>
          <w:shd w:val="clear" w:color="auto" w:fill="FFFFFF"/>
        </w:rPr>
        <w:t>、机关运行经费情况：</w:t>
      </w:r>
      <w:r>
        <w:rPr>
          <w:rFonts w:ascii="仿宋_GB2312" w:hAnsi="仿宋" w:eastAsia="仿宋_GB2312" w:cs="仿宋_GB2312"/>
          <w:sz w:val="32"/>
          <w:szCs w:val="32"/>
        </w:rPr>
        <w:t>2017</w:t>
      </w:r>
      <w:r>
        <w:rPr>
          <w:rFonts w:hint="eastAsia" w:ascii="仿宋_GB2312" w:hAnsi="仿宋" w:eastAsia="仿宋_GB2312" w:cs="仿宋_GB2312"/>
          <w:sz w:val="32"/>
          <w:szCs w:val="32"/>
        </w:rPr>
        <w:t>年度部门机关运行经费支出</w:t>
      </w:r>
      <w:r>
        <w:rPr>
          <w:rFonts w:ascii="仿宋_GB2312" w:hAnsi="仿宋" w:eastAsia="仿宋_GB2312" w:cs="仿宋_GB2312"/>
          <w:sz w:val="32"/>
          <w:szCs w:val="32"/>
        </w:rPr>
        <w:t>23.76</w:t>
      </w:r>
      <w:r>
        <w:rPr>
          <w:rFonts w:hint="eastAsia" w:ascii="仿宋_GB2312" w:hAnsi="仿宋" w:eastAsia="仿宋_GB2312" w:cs="仿宋_GB2312"/>
          <w:sz w:val="32"/>
          <w:szCs w:val="32"/>
        </w:rPr>
        <w:t>万元，比</w:t>
      </w:r>
      <w:r>
        <w:rPr>
          <w:rFonts w:ascii="仿宋_GB2312" w:hAnsi="仿宋" w:eastAsia="仿宋_GB2312" w:cs="仿宋_GB2312"/>
          <w:sz w:val="32"/>
          <w:szCs w:val="32"/>
        </w:rPr>
        <w:t>2016</w:t>
      </w:r>
      <w:r>
        <w:rPr>
          <w:rFonts w:hint="eastAsia" w:ascii="仿宋_GB2312" w:hAnsi="仿宋" w:eastAsia="仿宋_GB2312" w:cs="仿宋_GB2312"/>
          <w:sz w:val="32"/>
          <w:szCs w:val="32"/>
        </w:rPr>
        <w:t>年度增加</w:t>
      </w:r>
      <w:r>
        <w:rPr>
          <w:rFonts w:ascii="仿宋_GB2312" w:hAnsi="仿宋" w:eastAsia="仿宋_GB2312" w:cs="仿宋_GB2312"/>
          <w:sz w:val="32"/>
          <w:szCs w:val="32"/>
        </w:rPr>
        <w:t>4.42</w:t>
      </w:r>
      <w:r>
        <w:rPr>
          <w:rFonts w:hint="eastAsia" w:ascii="仿宋_GB2312" w:hAnsi="仿宋" w:eastAsia="仿宋_GB2312" w:cs="仿宋_GB2312"/>
          <w:sz w:val="32"/>
          <w:szCs w:val="32"/>
        </w:rPr>
        <w:t>万元，增长</w:t>
      </w:r>
      <w:r>
        <w:rPr>
          <w:rFonts w:ascii="仿宋_GB2312" w:hAnsi="仿宋" w:eastAsia="仿宋_GB2312" w:cs="仿宋_GB2312"/>
          <w:sz w:val="32"/>
          <w:szCs w:val="32"/>
        </w:rPr>
        <w:t>22.85%</w:t>
      </w:r>
      <w:r>
        <w:rPr>
          <w:rFonts w:hint="eastAsia" w:ascii="仿宋_GB2312" w:hAnsi="仿宋" w:eastAsia="仿宋_GB2312" w:cs="仿宋_GB2312"/>
          <w:sz w:val="32"/>
          <w:szCs w:val="32"/>
        </w:rPr>
        <w:t>。</w:t>
      </w:r>
      <w:r>
        <w:rPr>
          <w:rFonts w:hint="eastAsia" w:ascii="仿宋_GB2312" w:eastAsia="仿宋_GB2312" w:cs="仿宋_GB2312"/>
          <w:sz w:val="32"/>
          <w:szCs w:val="32"/>
        </w:rPr>
        <w:t>原因是</w:t>
      </w:r>
      <w:r>
        <w:rPr>
          <w:rFonts w:hint="eastAsia" w:ascii="仿宋_GB2312" w:hAnsi="仿宋" w:eastAsia="仿宋_GB2312" w:cs="仿宋_GB2312"/>
          <w:sz w:val="32"/>
          <w:szCs w:val="32"/>
        </w:rPr>
        <w:t>增加公务用车编制数，公务用车运行维护费增长</w:t>
      </w:r>
      <w:r>
        <w:rPr>
          <w:rFonts w:hint="eastAsia" w:ascii="仿宋_GB2312" w:eastAsia="仿宋_GB2312" w:cs="仿宋_GB2312"/>
          <w:sz w:val="32"/>
          <w:szCs w:val="32"/>
        </w:rPr>
        <w:t>。</w:t>
      </w:r>
    </w:p>
    <w:p>
      <w:pPr>
        <w:autoSpaceDE w:val="0"/>
        <w:autoSpaceDN w:val="0"/>
        <w:snapToGrid w:val="0"/>
        <w:spacing w:line="560" w:lineRule="exact"/>
        <w:ind w:firstLine="643" w:firstLineChars="200"/>
        <w:rPr>
          <w:rFonts w:ascii="仿宋_GB2312" w:hAnsi="仿宋_GB2312" w:eastAsia="仿宋_GB2312" w:cs="Times New Roman"/>
          <w:kern w:val="0"/>
          <w:sz w:val="32"/>
          <w:szCs w:val="32"/>
          <w:shd w:val="clear" w:color="auto" w:fill="FFFFFF"/>
        </w:rPr>
      </w:pPr>
      <w:r>
        <w:rPr>
          <w:rFonts w:ascii="仿宋_GB2312" w:hAnsi="仿宋_GB2312" w:eastAsia="仿宋_GB2312" w:cs="仿宋_GB2312"/>
          <w:b/>
          <w:bCs/>
          <w:color w:val="000000"/>
          <w:kern w:val="0"/>
          <w:sz w:val="32"/>
          <w:szCs w:val="32"/>
          <w:shd w:val="clear" w:color="auto" w:fill="FFFFFF"/>
        </w:rPr>
        <w:t>2</w:t>
      </w:r>
      <w:r>
        <w:rPr>
          <w:rFonts w:hint="eastAsia" w:ascii="仿宋_GB2312" w:hAnsi="仿宋_GB2312" w:eastAsia="仿宋_GB2312" w:cs="仿宋_GB2312"/>
          <w:b/>
          <w:bCs/>
          <w:color w:val="000000"/>
          <w:kern w:val="0"/>
          <w:sz w:val="32"/>
          <w:szCs w:val="32"/>
          <w:shd w:val="clear" w:color="auto" w:fill="FFFFFF"/>
        </w:rPr>
        <w:t>、政府采购情况：</w:t>
      </w:r>
      <w:r>
        <w:rPr>
          <w:rFonts w:ascii="仿宋_GB2312" w:hAnsi="仿宋_GB2312" w:eastAsia="仿宋_GB2312" w:cs="仿宋_GB2312"/>
          <w:kern w:val="0"/>
          <w:sz w:val="32"/>
          <w:szCs w:val="32"/>
          <w:shd w:val="clear" w:color="auto" w:fill="FFFFFF"/>
        </w:rPr>
        <w:t>2017</w:t>
      </w:r>
      <w:r>
        <w:rPr>
          <w:rFonts w:hint="eastAsia" w:ascii="仿宋_GB2312" w:hAnsi="仿宋_GB2312" w:eastAsia="仿宋_GB2312" w:cs="仿宋_GB2312"/>
          <w:kern w:val="0"/>
          <w:sz w:val="32"/>
          <w:szCs w:val="32"/>
          <w:shd w:val="clear" w:color="auto" w:fill="FFFFFF"/>
        </w:rPr>
        <w:t>年度部门政府采购支出</w:t>
      </w:r>
      <w:r>
        <w:rPr>
          <w:rFonts w:ascii="仿宋_GB2312" w:hAnsi="仿宋" w:eastAsia="仿宋_GB2312" w:cs="仿宋_GB2312"/>
          <w:sz w:val="32"/>
          <w:szCs w:val="32"/>
        </w:rPr>
        <w:t>27.43</w:t>
      </w:r>
      <w:r>
        <w:rPr>
          <w:rFonts w:hint="eastAsia" w:ascii="仿宋_GB2312" w:hAnsi="仿宋_GB2312" w:eastAsia="仿宋_GB2312" w:cs="仿宋_GB2312"/>
          <w:kern w:val="0"/>
          <w:sz w:val="32"/>
          <w:szCs w:val="32"/>
          <w:shd w:val="clear" w:color="auto" w:fill="FFFFFF"/>
        </w:rPr>
        <w:t>万元，其中：政府采购货物支出</w:t>
      </w:r>
      <w:r>
        <w:rPr>
          <w:rFonts w:ascii="仿宋_GB2312" w:hAnsi="仿宋" w:eastAsia="仿宋_GB2312" w:cs="仿宋_GB2312"/>
          <w:sz w:val="32"/>
          <w:szCs w:val="32"/>
        </w:rPr>
        <w:t>0</w:t>
      </w:r>
      <w:r>
        <w:rPr>
          <w:rFonts w:hint="eastAsia" w:ascii="仿宋_GB2312" w:hAnsi="仿宋_GB2312" w:eastAsia="仿宋_GB2312" w:cs="仿宋_GB2312"/>
          <w:kern w:val="0"/>
          <w:sz w:val="32"/>
          <w:szCs w:val="32"/>
          <w:shd w:val="clear" w:color="auto" w:fill="FFFFFF"/>
        </w:rPr>
        <w:t>万元，政府采购工程支出</w:t>
      </w:r>
      <w:r>
        <w:rPr>
          <w:rFonts w:ascii="仿宋_GB2312" w:hAnsi="仿宋" w:eastAsia="仿宋_GB2312" w:cs="仿宋_GB2312"/>
          <w:sz w:val="32"/>
          <w:szCs w:val="32"/>
        </w:rPr>
        <w:t>0</w:t>
      </w:r>
      <w:r>
        <w:rPr>
          <w:rFonts w:hint="eastAsia" w:ascii="仿宋_GB2312" w:hAnsi="仿宋_GB2312" w:eastAsia="仿宋_GB2312" w:cs="仿宋_GB2312"/>
          <w:kern w:val="0"/>
          <w:sz w:val="32"/>
          <w:szCs w:val="32"/>
          <w:shd w:val="clear" w:color="auto" w:fill="FFFFFF"/>
        </w:rPr>
        <w:t>万元，政府采购服务支出</w:t>
      </w:r>
      <w:r>
        <w:rPr>
          <w:rFonts w:ascii="仿宋_GB2312" w:hAnsi="仿宋" w:eastAsia="仿宋_GB2312" w:cs="仿宋_GB2312"/>
          <w:sz w:val="32"/>
          <w:szCs w:val="32"/>
        </w:rPr>
        <w:t>27.43</w:t>
      </w:r>
      <w:r>
        <w:rPr>
          <w:rFonts w:hint="eastAsia" w:ascii="仿宋_GB2312" w:hAnsi="仿宋_GB2312" w:eastAsia="仿宋_GB2312" w:cs="仿宋_GB2312"/>
          <w:kern w:val="0"/>
          <w:sz w:val="32"/>
          <w:szCs w:val="32"/>
          <w:shd w:val="clear" w:color="auto" w:fill="FFFFFF"/>
        </w:rPr>
        <w:t>万元。</w:t>
      </w:r>
    </w:p>
    <w:p>
      <w:pPr>
        <w:widowControl/>
        <w:spacing w:line="560" w:lineRule="exact"/>
        <w:ind w:firstLine="643" w:firstLineChars="200"/>
        <w:rPr>
          <w:rFonts w:ascii="仿宋_GB2312" w:hAnsi="仿宋_GB2312" w:eastAsia="仿宋_GB2312" w:cs="Times New Roman"/>
          <w:kern w:val="0"/>
          <w:sz w:val="32"/>
          <w:szCs w:val="32"/>
          <w:shd w:val="clear" w:color="auto" w:fill="FFFFFF"/>
        </w:rPr>
      </w:pPr>
      <w:r>
        <w:rPr>
          <w:rFonts w:ascii="仿宋_GB2312" w:hAnsi="仿宋_GB2312" w:eastAsia="仿宋_GB2312" w:cs="仿宋_GB2312"/>
          <w:b/>
          <w:bCs/>
          <w:color w:val="000000"/>
          <w:kern w:val="0"/>
          <w:sz w:val="32"/>
          <w:szCs w:val="32"/>
          <w:shd w:val="clear" w:color="auto" w:fill="FFFFFF"/>
        </w:rPr>
        <w:t>3</w:t>
      </w:r>
      <w:r>
        <w:rPr>
          <w:rFonts w:hint="eastAsia" w:ascii="仿宋_GB2312" w:hAnsi="仿宋_GB2312" w:eastAsia="仿宋_GB2312" w:cs="仿宋_GB2312"/>
          <w:b/>
          <w:bCs/>
          <w:color w:val="000000"/>
          <w:kern w:val="0"/>
          <w:sz w:val="32"/>
          <w:szCs w:val="32"/>
          <w:shd w:val="clear" w:color="auto" w:fill="FFFFFF"/>
        </w:rPr>
        <w:t>、国有资产占用情况</w:t>
      </w:r>
      <w:r>
        <w:rPr>
          <w:rFonts w:ascii="仿宋_GB2312" w:hAnsi="仿宋_GB2312" w:eastAsia="仿宋_GB2312" w:cs="仿宋_GB2312"/>
          <w:b/>
          <w:bCs/>
          <w:color w:val="000000"/>
          <w:kern w:val="0"/>
          <w:sz w:val="32"/>
          <w:szCs w:val="32"/>
          <w:shd w:val="clear" w:color="auto" w:fill="FFFFFF"/>
        </w:rPr>
        <w:t>:</w:t>
      </w: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日，本部门共有车辆</w:t>
      </w:r>
      <w:r>
        <w:rPr>
          <w:rFonts w:ascii="仿宋_GB2312" w:hAnsi="仿宋" w:eastAsia="仿宋_GB2312" w:cs="仿宋_GB2312"/>
          <w:sz w:val="32"/>
          <w:szCs w:val="32"/>
        </w:rPr>
        <w:t>2</w:t>
      </w:r>
      <w:r>
        <w:rPr>
          <w:rFonts w:hint="eastAsia" w:ascii="仿宋_GB2312" w:hAnsi="仿宋_GB2312" w:eastAsia="仿宋_GB2312" w:cs="仿宋_GB2312"/>
          <w:sz w:val="32"/>
          <w:szCs w:val="32"/>
        </w:rPr>
        <w:t>辆，其中，一般公务用车</w:t>
      </w:r>
      <w:r>
        <w:rPr>
          <w:rFonts w:ascii="仿宋_GB2312" w:hAnsi="仿宋" w:eastAsia="仿宋_GB2312" w:cs="仿宋_GB2312"/>
          <w:sz w:val="32"/>
          <w:szCs w:val="32"/>
        </w:rPr>
        <w:t>2</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 w:eastAsia="仿宋_GB2312" w:cs="仿宋_GB2312"/>
          <w:sz w:val="32"/>
          <w:szCs w:val="32"/>
        </w:rPr>
        <w:t>0</w:t>
      </w:r>
      <w:r>
        <w:rPr>
          <w:rFonts w:hint="eastAsia" w:ascii="仿宋_GB2312" w:hAnsi="仿宋_GB2312" w:eastAsia="仿宋_GB2312" w:cs="仿宋_GB2312"/>
          <w:sz w:val="32"/>
          <w:szCs w:val="32"/>
        </w:rPr>
        <w:t>台（套），单价</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 w:eastAsia="仿宋_GB2312" w:cs="仿宋_GB2312"/>
          <w:sz w:val="32"/>
          <w:szCs w:val="32"/>
        </w:rPr>
        <w:t>0</w:t>
      </w:r>
      <w:r>
        <w:rPr>
          <w:rFonts w:hint="eastAsia" w:ascii="仿宋_GB2312" w:hAnsi="仿宋_GB2312" w:eastAsia="仿宋_GB2312" w:cs="仿宋_GB2312"/>
          <w:sz w:val="32"/>
          <w:szCs w:val="32"/>
        </w:rPr>
        <w:t>台（套）。</w:t>
      </w:r>
    </w:p>
    <w:tbl>
      <w:tblPr>
        <w:tblStyle w:val="5"/>
        <w:tblW w:w="12604" w:type="dxa"/>
        <w:jc w:val="center"/>
        <w:tblInd w:w="0" w:type="dxa"/>
        <w:tblLayout w:type="fixed"/>
        <w:tblCellMar>
          <w:top w:w="0" w:type="dxa"/>
          <w:left w:w="108" w:type="dxa"/>
          <w:bottom w:w="0" w:type="dxa"/>
          <w:right w:w="108" w:type="dxa"/>
        </w:tblCellMar>
      </w:tblPr>
      <w:tblGrid>
        <w:gridCol w:w="4892"/>
        <w:gridCol w:w="2662"/>
        <w:gridCol w:w="5050"/>
      </w:tblGrid>
      <w:tr>
        <w:tblPrEx>
          <w:tblLayout w:type="fixed"/>
          <w:tblCellMar>
            <w:top w:w="0" w:type="dxa"/>
            <w:left w:w="108" w:type="dxa"/>
            <w:bottom w:w="0" w:type="dxa"/>
            <w:right w:w="108" w:type="dxa"/>
          </w:tblCellMar>
        </w:tblPrEx>
        <w:trPr>
          <w:trHeight w:val="575" w:hRule="atLeast"/>
          <w:jc w:val="center"/>
        </w:trPr>
        <w:tc>
          <w:tcPr>
            <w:tcW w:w="12604" w:type="dxa"/>
            <w:gridSpan w:val="3"/>
            <w:tcBorders>
              <w:top w:val="nil"/>
              <w:left w:val="nil"/>
              <w:bottom w:val="nil"/>
              <w:right w:val="nil"/>
            </w:tcBorders>
            <w:vAlign w:val="center"/>
          </w:tcPr>
          <w:p>
            <w:pPr>
              <w:widowControl/>
              <w:spacing w:line="560" w:lineRule="exact"/>
              <w:ind w:firstLine="562" w:firstLineChars="200"/>
              <w:jc w:val="center"/>
              <w:rPr>
                <w:rFonts w:ascii="仿宋_GB2312" w:hAnsi="宋体" w:eastAsia="仿宋_GB2312" w:cs="Times New Roman"/>
                <w:b/>
                <w:bCs/>
                <w:kern w:val="0"/>
                <w:sz w:val="28"/>
                <w:szCs w:val="28"/>
              </w:rPr>
            </w:pPr>
            <w:r>
              <w:rPr>
                <w:rFonts w:hint="eastAsia" w:ascii="仿宋_GB2312" w:hAnsi="宋体" w:eastAsia="仿宋_GB2312" w:cs="仿宋_GB2312"/>
                <w:b/>
                <w:bCs/>
                <w:sz w:val="28"/>
                <w:szCs w:val="28"/>
              </w:rPr>
              <w:t>霸州津霸经济开发区管理委员会</w:t>
            </w:r>
            <w:r>
              <w:rPr>
                <w:rFonts w:hint="eastAsia" w:ascii="仿宋_GB2312" w:hAnsi="宋体" w:eastAsia="仿宋_GB2312" w:cs="仿宋_GB2312"/>
                <w:b/>
                <w:bCs/>
                <w:kern w:val="0"/>
                <w:sz w:val="28"/>
                <w:szCs w:val="28"/>
              </w:rPr>
              <w:t>部门固定资产占用情况表</w:t>
            </w:r>
          </w:p>
        </w:tc>
      </w:tr>
      <w:tr>
        <w:tblPrEx>
          <w:tblLayout w:type="fixed"/>
          <w:tblCellMar>
            <w:top w:w="0" w:type="dxa"/>
            <w:left w:w="108" w:type="dxa"/>
            <w:bottom w:w="0" w:type="dxa"/>
            <w:right w:w="108" w:type="dxa"/>
          </w:tblCellMar>
        </w:tblPrEx>
        <w:trPr>
          <w:trHeight w:val="493" w:hRule="atLeast"/>
          <w:jc w:val="center"/>
        </w:trPr>
        <w:tc>
          <w:tcPr>
            <w:tcW w:w="7554" w:type="dxa"/>
            <w:gridSpan w:val="2"/>
            <w:tcBorders>
              <w:top w:val="nil"/>
              <w:left w:val="nil"/>
              <w:bottom w:val="nil"/>
              <w:right w:val="nil"/>
            </w:tcBorders>
            <w:vAlign w:val="center"/>
          </w:tcPr>
          <w:p>
            <w:pPr>
              <w:widowControl/>
              <w:spacing w:line="560" w:lineRule="exact"/>
              <w:rPr>
                <w:rFonts w:ascii="仿宋_GB2312" w:eastAsia="仿宋_GB2312" w:cs="Times New Roman"/>
                <w:kern w:val="0"/>
                <w:sz w:val="28"/>
                <w:szCs w:val="28"/>
              </w:rPr>
            </w:pPr>
            <w:r>
              <w:rPr>
                <w:rFonts w:hint="eastAsia" w:ascii="仿宋_GB2312" w:hAnsi="宋体" w:eastAsia="仿宋_GB2312" w:cs="仿宋_GB2312"/>
                <w:kern w:val="0"/>
                <w:sz w:val="28"/>
                <w:szCs w:val="28"/>
              </w:rPr>
              <w:t>编制部门：</w:t>
            </w:r>
            <w:r>
              <w:rPr>
                <w:rFonts w:ascii="仿宋_GB2312" w:hAnsi="宋体" w:eastAsia="仿宋_GB2312" w:cs="仿宋_GB2312"/>
                <w:kern w:val="0"/>
                <w:sz w:val="28"/>
                <w:szCs w:val="28"/>
              </w:rPr>
              <w:t>966</w:t>
            </w:r>
            <w:r>
              <w:rPr>
                <w:rFonts w:hint="eastAsia" w:ascii="仿宋_GB2312" w:hAnsi="宋体" w:eastAsia="仿宋_GB2312" w:cs="仿宋_GB2312"/>
                <w:sz w:val="28"/>
                <w:szCs w:val="28"/>
              </w:rPr>
              <w:t>霸州津霸经济开发区管理委员会</w:t>
            </w:r>
          </w:p>
        </w:tc>
        <w:tc>
          <w:tcPr>
            <w:tcW w:w="5050" w:type="dxa"/>
            <w:tcBorders>
              <w:top w:val="nil"/>
              <w:left w:val="nil"/>
              <w:bottom w:val="nil"/>
              <w:right w:val="nil"/>
            </w:tcBorders>
            <w:vAlign w:val="center"/>
          </w:tcPr>
          <w:p>
            <w:pPr>
              <w:widowControl/>
              <w:spacing w:line="560" w:lineRule="exact"/>
              <w:rPr>
                <w:rFonts w:ascii="仿宋_GB2312" w:eastAsia="仿宋_GB2312" w:cs="Times New Roman"/>
                <w:kern w:val="0"/>
                <w:sz w:val="28"/>
                <w:szCs w:val="28"/>
              </w:rPr>
            </w:pPr>
            <w:r>
              <w:rPr>
                <w:rFonts w:hint="eastAsia" w:ascii="仿宋_GB2312" w:eastAsia="仿宋_GB2312" w:cs="仿宋_GB2312"/>
                <w:kern w:val="0"/>
                <w:sz w:val="28"/>
                <w:szCs w:val="28"/>
              </w:rPr>
              <w:t>截止时间：</w:t>
            </w:r>
            <w:r>
              <w:rPr>
                <w:rFonts w:ascii="仿宋_GB2312" w:eastAsia="仿宋_GB2312" w:cs="仿宋_GB2312"/>
                <w:kern w:val="0"/>
                <w:sz w:val="28"/>
                <w:szCs w:val="28"/>
              </w:rPr>
              <w:t>2017</w:t>
            </w:r>
            <w:r>
              <w:rPr>
                <w:rFonts w:hint="eastAsia" w:ascii="仿宋_GB2312" w:eastAsia="仿宋_GB2312" w:cs="仿宋_GB2312"/>
                <w:kern w:val="0"/>
                <w:sz w:val="28"/>
                <w:szCs w:val="28"/>
              </w:rPr>
              <w:t>年</w:t>
            </w:r>
            <w:r>
              <w:rPr>
                <w:rFonts w:ascii="仿宋_GB2312" w:eastAsia="仿宋_GB2312" w:cs="仿宋_GB2312"/>
                <w:kern w:val="0"/>
                <w:sz w:val="28"/>
                <w:szCs w:val="28"/>
              </w:rPr>
              <w:t>12</w:t>
            </w:r>
            <w:r>
              <w:rPr>
                <w:rFonts w:hint="eastAsia" w:ascii="仿宋_GB2312" w:eastAsia="仿宋_GB2312" w:cs="仿宋_GB2312"/>
                <w:kern w:val="0"/>
                <w:sz w:val="28"/>
                <w:szCs w:val="28"/>
              </w:rPr>
              <w:t>月</w:t>
            </w:r>
            <w:r>
              <w:rPr>
                <w:rFonts w:ascii="仿宋_GB2312" w:eastAsia="仿宋_GB2312" w:cs="仿宋_GB2312"/>
                <w:kern w:val="0"/>
                <w:sz w:val="28"/>
                <w:szCs w:val="28"/>
              </w:rPr>
              <w:t>31</w:t>
            </w:r>
            <w:r>
              <w:rPr>
                <w:rFonts w:hint="eastAsia" w:ascii="仿宋_GB2312" w:eastAsia="仿宋_GB2312" w:cs="仿宋_GB2312"/>
                <w:kern w:val="0"/>
                <w:sz w:val="28"/>
                <w:szCs w:val="28"/>
              </w:rPr>
              <w:t>日</w:t>
            </w:r>
          </w:p>
        </w:tc>
      </w:tr>
      <w:tr>
        <w:tblPrEx>
          <w:tblLayout w:type="fixed"/>
          <w:tblCellMar>
            <w:top w:w="0" w:type="dxa"/>
            <w:left w:w="108" w:type="dxa"/>
            <w:bottom w:w="0" w:type="dxa"/>
            <w:right w:w="108" w:type="dxa"/>
          </w:tblCellMar>
        </w:tblPrEx>
        <w:trPr>
          <w:trHeight w:val="571" w:hRule="atLeast"/>
          <w:jc w:val="center"/>
        </w:trPr>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s="Times New Roman"/>
                <w:b/>
                <w:bCs/>
                <w:kern w:val="0"/>
                <w:sz w:val="28"/>
                <w:szCs w:val="28"/>
              </w:rPr>
            </w:pPr>
            <w:r>
              <w:rPr>
                <w:rFonts w:hint="eastAsia" w:ascii="仿宋_GB2312" w:eastAsia="仿宋_GB2312" w:cs="仿宋_GB2312"/>
                <w:b/>
                <w:bCs/>
                <w:kern w:val="0"/>
                <w:sz w:val="28"/>
                <w:szCs w:val="28"/>
              </w:rPr>
              <w:t>项</w:t>
            </w:r>
            <w:r>
              <w:rPr>
                <w:rFonts w:ascii="仿宋_GB2312" w:eastAsia="仿宋_GB2312" w:cs="仿宋_GB2312"/>
                <w:b/>
                <w:bCs/>
                <w:kern w:val="0"/>
                <w:sz w:val="28"/>
                <w:szCs w:val="28"/>
              </w:rPr>
              <w:t xml:space="preserve">  </w:t>
            </w:r>
            <w:r>
              <w:rPr>
                <w:rFonts w:hint="eastAsia" w:ascii="仿宋_GB2312" w:eastAsia="仿宋_GB2312" w:cs="仿宋_GB2312"/>
                <w:b/>
                <w:bCs/>
                <w:kern w:val="0"/>
                <w:sz w:val="28"/>
                <w:szCs w:val="28"/>
              </w:rPr>
              <w:t>目</w:t>
            </w:r>
          </w:p>
        </w:tc>
        <w:tc>
          <w:tcPr>
            <w:tcW w:w="26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cs="Times New Roman"/>
                <w:b/>
                <w:bCs/>
                <w:kern w:val="0"/>
                <w:sz w:val="28"/>
                <w:szCs w:val="28"/>
              </w:rPr>
            </w:pPr>
            <w:r>
              <w:rPr>
                <w:rFonts w:hint="eastAsia" w:ascii="仿宋_GB2312" w:eastAsia="仿宋_GB2312" w:cs="仿宋_GB2312"/>
                <w:b/>
                <w:bCs/>
                <w:kern w:val="0"/>
                <w:sz w:val="28"/>
                <w:szCs w:val="28"/>
              </w:rPr>
              <w:t>数量</w:t>
            </w:r>
          </w:p>
        </w:tc>
        <w:tc>
          <w:tcPr>
            <w:tcW w:w="5050" w:type="dxa"/>
            <w:tcBorders>
              <w:top w:val="single" w:color="auto" w:sz="4" w:space="0"/>
              <w:left w:val="nil"/>
              <w:bottom w:val="single" w:color="auto" w:sz="4" w:space="0"/>
              <w:right w:val="single" w:color="auto" w:sz="4" w:space="0"/>
            </w:tcBorders>
            <w:vAlign w:val="center"/>
          </w:tcPr>
          <w:p>
            <w:pPr>
              <w:widowControl/>
              <w:spacing w:line="560" w:lineRule="exact"/>
              <w:ind w:firstLine="562" w:firstLineChars="200"/>
              <w:jc w:val="center"/>
              <w:rPr>
                <w:rFonts w:ascii="仿宋_GB2312" w:eastAsia="仿宋_GB2312" w:cs="Times New Roman"/>
                <w:b/>
                <w:bCs/>
                <w:kern w:val="0"/>
                <w:sz w:val="28"/>
                <w:szCs w:val="28"/>
              </w:rPr>
            </w:pPr>
            <w:r>
              <w:rPr>
                <w:rFonts w:hint="eastAsia" w:ascii="仿宋_GB2312" w:eastAsia="仿宋_GB2312" w:cs="仿宋_GB2312"/>
                <w:b/>
                <w:bCs/>
                <w:kern w:val="0"/>
                <w:sz w:val="28"/>
                <w:szCs w:val="28"/>
              </w:rPr>
              <w:t>价值（金额单位：万元）</w:t>
            </w:r>
          </w:p>
        </w:tc>
      </w:tr>
      <w:tr>
        <w:tblPrEx>
          <w:tblLayout w:type="fixed"/>
          <w:tblCellMar>
            <w:top w:w="0" w:type="dxa"/>
            <w:left w:w="108" w:type="dxa"/>
            <w:bottom w:w="0" w:type="dxa"/>
            <w:right w:w="108" w:type="dxa"/>
          </w:tblCellMar>
        </w:tblPrEx>
        <w:trPr>
          <w:trHeight w:val="571" w:hRule="atLeast"/>
          <w:jc w:val="center"/>
        </w:trPr>
        <w:tc>
          <w:tcPr>
            <w:tcW w:w="4892"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rFonts w:hint="eastAsia" w:cs="宋体"/>
                <w:kern w:val="0"/>
                <w:sz w:val="22"/>
                <w:szCs w:val="22"/>
              </w:rPr>
              <w:t>资产总额</w:t>
            </w:r>
          </w:p>
        </w:tc>
        <w:tc>
          <w:tcPr>
            <w:tcW w:w="2662" w:type="dxa"/>
            <w:tcBorders>
              <w:top w:val="nil"/>
              <w:left w:val="nil"/>
              <w:bottom w:val="single" w:color="auto" w:sz="4" w:space="0"/>
              <w:right w:val="single" w:color="auto" w:sz="4" w:space="0"/>
            </w:tcBorders>
            <w:vAlign w:val="center"/>
          </w:tcPr>
          <w:p>
            <w:pPr>
              <w:widowControl/>
              <w:spacing w:line="560" w:lineRule="exact"/>
              <w:jc w:val="center"/>
              <w:rPr>
                <w:kern w:val="0"/>
                <w:sz w:val="24"/>
                <w:szCs w:val="24"/>
              </w:rPr>
            </w:pPr>
            <w:r>
              <w:rPr>
                <w:kern w:val="0"/>
                <w:sz w:val="24"/>
                <w:szCs w:val="24"/>
              </w:rPr>
              <w:t>——</w:t>
            </w:r>
          </w:p>
        </w:tc>
        <w:tc>
          <w:tcPr>
            <w:tcW w:w="5050"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r>
              <w:rPr>
                <w:kern w:val="0"/>
                <w:sz w:val="24"/>
                <w:szCs w:val="24"/>
              </w:rPr>
              <w:t>97.15</w:t>
            </w:r>
          </w:p>
        </w:tc>
      </w:tr>
      <w:tr>
        <w:tblPrEx>
          <w:tblLayout w:type="fixed"/>
          <w:tblCellMar>
            <w:top w:w="0" w:type="dxa"/>
            <w:left w:w="108" w:type="dxa"/>
            <w:bottom w:w="0" w:type="dxa"/>
            <w:right w:w="108" w:type="dxa"/>
          </w:tblCellMar>
        </w:tblPrEx>
        <w:trPr>
          <w:trHeight w:val="571" w:hRule="atLeast"/>
          <w:jc w:val="center"/>
        </w:trPr>
        <w:tc>
          <w:tcPr>
            <w:tcW w:w="4892"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kern w:val="0"/>
                <w:sz w:val="22"/>
                <w:szCs w:val="22"/>
              </w:rPr>
              <w:t>1</w:t>
            </w:r>
            <w:r>
              <w:rPr>
                <w:rFonts w:hint="eastAsia" w:cs="宋体"/>
                <w:kern w:val="0"/>
                <w:sz w:val="22"/>
                <w:szCs w:val="22"/>
              </w:rPr>
              <w:t>、房屋（平方米）</w:t>
            </w:r>
          </w:p>
        </w:tc>
        <w:tc>
          <w:tcPr>
            <w:tcW w:w="2662"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p>
        </w:tc>
        <w:tc>
          <w:tcPr>
            <w:tcW w:w="5050"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p>
        </w:tc>
      </w:tr>
      <w:tr>
        <w:tblPrEx>
          <w:tblLayout w:type="fixed"/>
          <w:tblCellMar>
            <w:top w:w="0" w:type="dxa"/>
            <w:left w:w="108" w:type="dxa"/>
            <w:bottom w:w="0" w:type="dxa"/>
            <w:right w:w="108" w:type="dxa"/>
          </w:tblCellMar>
        </w:tblPrEx>
        <w:trPr>
          <w:trHeight w:val="571" w:hRule="atLeast"/>
          <w:jc w:val="center"/>
        </w:trPr>
        <w:tc>
          <w:tcPr>
            <w:tcW w:w="4892"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kern w:val="0"/>
                <w:sz w:val="22"/>
                <w:szCs w:val="22"/>
              </w:rPr>
              <w:t xml:space="preserve">    </w:t>
            </w:r>
            <w:r>
              <w:rPr>
                <w:rFonts w:hint="eastAsia" w:cs="宋体"/>
                <w:kern w:val="0"/>
                <w:sz w:val="22"/>
                <w:szCs w:val="22"/>
              </w:rPr>
              <w:t>其中：办公用房（平方米）</w:t>
            </w:r>
          </w:p>
        </w:tc>
        <w:tc>
          <w:tcPr>
            <w:tcW w:w="2662"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p>
        </w:tc>
        <w:tc>
          <w:tcPr>
            <w:tcW w:w="5050"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p>
        </w:tc>
      </w:tr>
      <w:tr>
        <w:tblPrEx>
          <w:tblLayout w:type="fixed"/>
          <w:tblCellMar>
            <w:top w:w="0" w:type="dxa"/>
            <w:left w:w="108" w:type="dxa"/>
            <w:bottom w:w="0" w:type="dxa"/>
            <w:right w:w="108" w:type="dxa"/>
          </w:tblCellMar>
        </w:tblPrEx>
        <w:trPr>
          <w:trHeight w:val="571" w:hRule="atLeast"/>
          <w:jc w:val="center"/>
        </w:trPr>
        <w:tc>
          <w:tcPr>
            <w:tcW w:w="4892"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kern w:val="0"/>
                <w:sz w:val="22"/>
                <w:szCs w:val="22"/>
              </w:rPr>
              <w:t>2</w:t>
            </w:r>
            <w:r>
              <w:rPr>
                <w:rFonts w:hint="eastAsia" w:cs="宋体"/>
                <w:kern w:val="0"/>
                <w:sz w:val="22"/>
                <w:szCs w:val="22"/>
              </w:rPr>
              <w:t>、车辆（台、辆）</w:t>
            </w:r>
          </w:p>
        </w:tc>
        <w:tc>
          <w:tcPr>
            <w:tcW w:w="2662"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r>
              <w:rPr>
                <w:kern w:val="0"/>
                <w:sz w:val="24"/>
                <w:szCs w:val="24"/>
              </w:rPr>
              <w:t>2</w:t>
            </w:r>
          </w:p>
        </w:tc>
        <w:tc>
          <w:tcPr>
            <w:tcW w:w="5050"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r>
              <w:rPr>
                <w:kern w:val="0"/>
                <w:sz w:val="24"/>
                <w:szCs w:val="24"/>
              </w:rPr>
              <w:t>35.6</w:t>
            </w:r>
          </w:p>
        </w:tc>
      </w:tr>
      <w:tr>
        <w:tblPrEx>
          <w:tblLayout w:type="fixed"/>
          <w:tblCellMar>
            <w:top w:w="0" w:type="dxa"/>
            <w:left w:w="108" w:type="dxa"/>
            <w:bottom w:w="0" w:type="dxa"/>
            <w:right w:w="108" w:type="dxa"/>
          </w:tblCellMar>
        </w:tblPrEx>
        <w:trPr>
          <w:trHeight w:val="571" w:hRule="atLeast"/>
          <w:jc w:val="center"/>
        </w:trPr>
        <w:tc>
          <w:tcPr>
            <w:tcW w:w="4892"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kern w:val="0"/>
                <w:sz w:val="22"/>
                <w:szCs w:val="22"/>
              </w:rPr>
              <w:t>3</w:t>
            </w:r>
            <w:r>
              <w:rPr>
                <w:rFonts w:hint="eastAsia" w:cs="宋体"/>
                <w:kern w:val="0"/>
                <w:sz w:val="22"/>
                <w:szCs w:val="22"/>
              </w:rPr>
              <w:t>、单价在</w:t>
            </w:r>
            <w:r>
              <w:rPr>
                <w:kern w:val="0"/>
                <w:sz w:val="22"/>
                <w:szCs w:val="22"/>
              </w:rPr>
              <w:t>50</w:t>
            </w:r>
            <w:r>
              <w:rPr>
                <w:rFonts w:hint="eastAsia" w:cs="宋体"/>
                <w:kern w:val="0"/>
                <w:sz w:val="22"/>
                <w:szCs w:val="22"/>
              </w:rPr>
              <w:t>万元以上的设备</w:t>
            </w:r>
          </w:p>
        </w:tc>
        <w:tc>
          <w:tcPr>
            <w:tcW w:w="2662"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p>
        </w:tc>
        <w:tc>
          <w:tcPr>
            <w:tcW w:w="5050"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p>
        </w:tc>
      </w:tr>
      <w:tr>
        <w:tblPrEx>
          <w:tblLayout w:type="fixed"/>
          <w:tblCellMar>
            <w:top w:w="0" w:type="dxa"/>
            <w:left w:w="108" w:type="dxa"/>
            <w:bottom w:w="0" w:type="dxa"/>
            <w:right w:w="108" w:type="dxa"/>
          </w:tblCellMar>
        </w:tblPrEx>
        <w:trPr>
          <w:trHeight w:val="613" w:hRule="atLeast"/>
          <w:jc w:val="center"/>
        </w:trPr>
        <w:tc>
          <w:tcPr>
            <w:tcW w:w="4892"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kern w:val="0"/>
                <w:sz w:val="22"/>
                <w:szCs w:val="22"/>
              </w:rPr>
              <w:t>4</w:t>
            </w:r>
            <w:r>
              <w:rPr>
                <w:rFonts w:hint="eastAsia" w:cs="宋体"/>
                <w:kern w:val="0"/>
                <w:sz w:val="22"/>
                <w:szCs w:val="22"/>
              </w:rPr>
              <w:t>、其他固定资产</w:t>
            </w:r>
          </w:p>
        </w:tc>
        <w:tc>
          <w:tcPr>
            <w:tcW w:w="2662"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p>
        </w:tc>
        <w:tc>
          <w:tcPr>
            <w:tcW w:w="5050" w:type="dxa"/>
            <w:tcBorders>
              <w:top w:val="nil"/>
              <w:left w:val="nil"/>
              <w:bottom w:val="single" w:color="auto" w:sz="4" w:space="0"/>
              <w:right w:val="single" w:color="auto" w:sz="4" w:space="0"/>
            </w:tcBorders>
            <w:vAlign w:val="center"/>
          </w:tcPr>
          <w:p>
            <w:pPr>
              <w:widowControl/>
              <w:spacing w:line="560" w:lineRule="exact"/>
              <w:ind w:firstLine="480" w:firstLineChars="200"/>
              <w:jc w:val="center"/>
              <w:rPr>
                <w:rFonts w:cs="Times New Roman"/>
                <w:kern w:val="0"/>
                <w:sz w:val="24"/>
                <w:szCs w:val="24"/>
              </w:rPr>
            </w:pPr>
            <w:r>
              <w:rPr>
                <w:kern w:val="0"/>
                <w:sz w:val="24"/>
                <w:szCs w:val="24"/>
              </w:rPr>
              <w:t>61.55</w:t>
            </w:r>
          </w:p>
        </w:tc>
      </w:tr>
    </w:tbl>
    <w:p>
      <w:pPr>
        <w:widowControl/>
        <w:spacing w:line="560" w:lineRule="exact"/>
        <w:ind w:firstLine="643" w:firstLineChars="200"/>
        <w:rPr>
          <w:rFonts w:ascii="仿宋_GB2312" w:eastAsia="仿宋_GB2312" w:cs="Times New Roman"/>
          <w:sz w:val="32"/>
          <w:szCs w:val="32"/>
        </w:rPr>
      </w:pPr>
      <w:r>
        <w:rPr>
          <w:rFonts w:ascii="仿宋_GB2312" w:hAnsi="仿宋_GB2312" w:eastAsia="仿宋_GB2312" w:cs="仿宋_GB2312"/>
          <w:b/>
          <w:bCs/>
          <w:color w:val="000000"/>
          <w:kern w:val="0"/>
          <w:sz w:val="32"/>
          <w:szCs w:val="32"/>
          <w:shd w:val="clear" w:color="auto" w:fill="FFFFFF"/>
        </w:rPr>
        <w:t>4</w:t>
      </w:r>
      <w:r>
        <w:rPr>
          <w:rFonts w:hint="eastAsia" w:ascii="仿宋_GB2312" w:hAnsi="仿宋_GB2312" w:eastAsia="仿宋_GB2312" w:cs="仿宋_GB2312"/>
          <w:b/>
          <w:bCs/>
          <w:color w:val="000000"/>
          <w:kern w:val="0"/>
          <w:sz w:val="32"/>
          <w:szCs w:val="32"/>
          <w:shd w:val="clear" w:color="auto" w:fill="FFFFFF"/>
        </w:rPr>
        <w:t>、其他需要说明的情况</w:t>
      </w:r>
      <w:r>
        <w:rPr>
          <w:rFonts w:ascii="仿宋_GB2312" w:hAnsi="仿宋_GB2312" w:eastAsia="仿宋_GB2312" w:cs="仿宋_GB2312"/>
          <w:b/>
          <w:bCs/>
          <w:color w:val="000000"/>
          <w:kern w:val="0"/>
          <w:sz w:val="32"/>
          <w:szCs w:val="32"/>
          <w:shd w:val="clear" w:color="auto" w:fill="FFFFFF"/>
        </w:rPr>
        <w:t>:</w:t>
      </w:r>
      <w:r>
        <w:rPr>
          <w:rFonts w:hint="eastAsia" w:ascii="仿宋_GB2312" w:hAnsi="仿宋" w:eastAsia="仿宋_GB2312" w:cs="仿宋_GB2312"/>
          <w:sz w:val="32"/>
          <w:szCs w:val="32"/>
        </w:rPr>
        <w:t>由于决算公开表格中金额数值应当保留两位小数，公开数据为四舍五入计算结果，个别数据合计项与分项之和存在小数点后差额，特此说明。</w:t>
      </w:r>
    </w:p>
    <w:p>
      <w:pPr>
        <w:autoSpaceDE w:val="0"/>
        <w:autoSpaceDN w:val="0"/>
        <w:adjustRightInd w:val="0"/>
        <w:spacing w:line="560" w:lineRule="exact"/>
        <w:ind w:firstLine="640" w:firstLineChars="200"/>
        <w:rPr>
          <w:rFonts w:ascii="仿宋" w:hAnsi="仿宋" w:eastAsia="仿宋" w:cs="Times New Roman"/>
          <w:color w:val="FF0000"/>
          <w:sz w:val="32"/>
          <w:szCs w:val="32"/>
        </w:rPr>
      </w:pPr>
      <w:r>
        <w:rPr>
          <w:rFonts w:hint="eastAsia" w:eastAsia="黑体" w:cs="黑体"/>
          <w:sz w:val="32"/>
          <w:szCs w:val="32"/>
        </w:rPr>
        <w:t>四、名词解释</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（一）财政拨款收入：本年度从本级财政部门取得的财政拨款，包括一般公共预算财政拨款和政府性基金预算财政拨款。</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（二）事业收入：指事业单位开展专业业务活动及辅助活动所取得的收入。</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（三）其他收入：指除上述</w:t>
      </w:r>
      <w:r>
        <w:rPr>
          <w:rFonts w:eastAsia="仿宋_GB2312"/>
          <w:color w:val="000000"/>
          <w:kern w:val="0"/>
          <w:sz w:val="32"/>
          <w:szCs w:val="32"/>
        </w:rPr>
        <w:t>“</w:t>
      </w:r>
      <w:r>
        <w:rPr>
          <w:rFonts w:hint="eastAsia" w:eastAsia="仿宋_GB2312" w:cs="仿宋_GB2312"/>
          <w:color w:val="000000"/>
          <w:kern w:val="0"/>
          <w:sz w:val="32"/>
          <w:szCs w:val="32"/>
        </w:rPr>
        <w:t>财政拨款收入</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事业收入</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经营收入</w:t>
      </w:r>
      <w:r>
        <w:rPr>
          <w:rFonts w:eastAsia="仿宋_GB2312"/>
          <w:color w:val="000000"/>
          <w:kern w:val="0"/>
          <w:sz w:val="32"/>
          <w:szCs w:val="32"/>
        </w:rPr>
        <w:t>”</w:t>
      </w:r>
      <w:r>
        <w:rPr>
          <w:rFonts w:hint="eastAsia" w:eastAsia="仿宋_GB2312" w:cs="仿宋_GB2312"/>
          <w:color w:val="000000"/>
          <w:kern w:val="0"/>
          <w:sz w:val="32"/>
          <w:szCs w:val="32"/>
        </w:rPr>
        <w:t>等以外的收入。</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（四）用事业基金弥补收支差额：指事业单位在用当年的</w:t>
      </w:r>
      <w:r>
        <w:rPr>
          <w:rFonts w:eastAsia="仿宋_GB2312"/>
          <w:color w:val="000000"/>
          <w:kern w:val="0"/>
          <w:sz w:val="32"/>
          <w:szCs w:val="32"/>
        </w:rPr>
        <w:t>“</w:t>
      </w:r>
      <w:r>
        <w:rPr>
          <w:rFonts w:hint="eastAsia" w:eastAsia="仿宋_GB2312" w:cs="仿宋_GB2312"/>
          <w:color w:val="000000"/>
          <w:kern w:val="0"/>
          <w:sz w:val="32"/>
          <w:szCs w:val="32"/>
        </w:rPr>
        <w:t>财政拨款收入</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财政拨款结转和结余资金</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事业收入</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经营收入</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其他收入</w:t>
      </w:r>
      <w:r>
        <w:rPr>
          <w:rFonts w:eastAsia="仿宋_GB2312"/>
          <w:color w:val="000000"/>
          <w:kern w:val="0"/>
          <w:sz w:val="32"/>
          <w:szCs w:val="32"/>
        </w:rPr>
        <w:t>”</w:t>
      </w:r>
      <w:r>
        <w:rPr>
          <w:rFonts w:hint="eastAsia" w:eastAsia="仿宋_GB2312" w:cs="仿宋_GB2312"/>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（五）年初结转和结余：指以前年度尚未完成、结转到本年仍按原规定用途继续使用的资金，或项目已完成等产生的结余资金。</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（六）结余分配：指事业单位按照事业单位会计制度的规定从非财政补助结余中分配的事业基金和职工福利基金等。</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（七）年末结转和结余：指单位按有关规定结转到下年或以后年度继续使用的资金，或项目已完成等产生的结余资金。</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（八）基本支出：填列单位为保障机构正常运转、完成日常工作任务而发生的各项支出。</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（九）项目支出：填列单位为完成特定的行政工作任务或事业发展目标，在基本支出之外发生的各项支出</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（十二）</w:t>
      </w:r>
      <w:r>
        <w:rPr>
          <w:rFonts w:eastAsia="仿宋_GB2312"/>
          <w:color w:val="000000"/>
          <w:kern w:val="0"/>
          <w:sz w:val="32"/>
          <w:szCs w:val="32"/>
        </w:rPr>
        <w:t>“</w:t>
      </w:r>
      <w:r>
        <w:rPr>
          <w:rFonts w:hint="eastAsia" w:eastAsia="仿宋_GB2312" w:cs="仿宋_GB2312"/>
          <w:color w:val="000000"/>
          <w:kern w:val="0"/>
          <w:sz w:val="32"/>
          <w:szCs w:val="32"/>
        </w:rPr>
        <w:t>三公</w:t>
      </w:r>
      <w:r>
        <w:rPr>
          <w:rFonts w:eastAsia="仿宋_GB2312"/>
          <w:color w:val="000000"/>
          <w:kern w:val="0"/>
          <w:sz w:val="32"/>
          <w:szCs w:val="32"/>
        </w:rPr>
        <w:t>”</w:t>
      </w:r>
      <w:r>
        <w:rPr>
          <w:rFonts w:hint="eastAsia" w:eastAsia="仿宋_GB2312" w:cs="仿宋_GB2312"/>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（十四）公务用车购置：填列单位公务用车车辆购置支出（含车辆购置税）。</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（十五）其他交通工具购置：填列单位除公务用车外的其他各类交通工具（如船舶、飞机）购置支出（含车辆购置税）。</w:t>
      </w:r>
    </w:p>
    <w:p>
      <w:pPr>
        <w:widowControl/>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eastAsia="仿宋_GB2312" w:cs="Times New Roman"/>
          <w:color w:val="000000"/>
          <w:kern w:val="0"/>
          <w:sz w:val="32"/>
          <w:szCs w:val="32"/>
        </w:rPr>
      </w:pPr>
    </w:p>
    <w:sectPr>
      <w:pgSz w:w="16838" w:h="11906" w:orient="landscape"/>
      <w:pgMar w:top="1701" w:right="1440" w:bottom="1701"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25"/>
    <w:multiLevelType w:val="singleLevel"/>
    <w:tmpl w:val="5F6E582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408"/>
    <w:rsid w:val="0000262E"/>
    <w:rsid w:val="00015776"/>
    <w:rsid w:val="00052DDA"/>
    <w:rsid w:val="0006452C"/>
    <w:rsid w:val="00071506"/>
    <w:rsid w:val="00080BF6"/>
    <w:rsid w:val="00082F15"/>
    <w:rsid w:val="000C3643"/>
    <w:rsid w:val="000C7F92"/>
    <w:rsid w:val="000E03B7"/>
    <w:rsid w:val="00104B5D"/>
    <w:rsid w:val="001254E9"/>
    <w:rsid w:val="00162205"/>
    <w:rsid w:val="001650E6"/>
    <w:rsid w:val="001E6FEC"/>
    <w:rsid w:val="00212689"/>
    <w:rsid w:val="00213773"/>
    <w:rsid w:val="00276E46"/>
    <w:rsid w:val="002771D0"/>
    <w:rsid w:val="002A761A"/>
    <w:rsid w:val="002B2AC2"/>
    <w:rsid w:val="002C05F7"/>
    <w:rsid w:val="003123EC"/>
    <w:rsid w:val="00314160"/>
    <w:rsid w:val="00340203"/>
    <w:rsid w:val="0036094E"/>
    <w:rsid w:val="00365623"/>
    <w:rsid w:val="003B0209"/>
    <w:rsid w:val="003E1F72"/>
    <w:rsid w:val="003F224E"/>
    <w:rsid w:val="003F31CB"/>
    <w:rsid w:val="00414FE7"/>
    <w:rsid w:val="00451DDA"/>
    <w:rsid w:val="0046014F"/>
    <w:rsid w:val="0046758B"/>
    <w:rsid w:val="004765F5"/>
    <w:rsid w:val="00485DF5"/>
    <w:rsid w:val="004A0938"/>
    <w:rsid w:val="004A3493"/>
    <w:rsid w:val="004B65D1"/>
    <w:rsid w:val="004B6EEB"/>
    <w:rsid w:val="004E0C51"/>
    <w:rsid w:val="004E5898"/>
    <w:rsid w:val="0050397F"/>
    <w:rsid w:val="005505A3"/>
    <w:rsid w:val="0056327E"/>
    <w:rsid w:val="005A48F3"/>
    <w:rsid w:val="005B6825"/>
    <w:rsid w:val="005E456B"/>
    <w:rsid w:val="005F5FB8"/>
    <w:rsid w:val="00614BE8"/>
    <w:rsid w:val="00641AD2"/>
    <w:rsid w:val="00661DC7"/>
    <w:rsid w:val="00663516"/>
    <w:rsid w:val="006A12F5"/>
    <w:rsid w:val="00766C9F"/>
    <w:rsid w:val="00782479"/>
    <w:rsid w:val="00795BB3"/>
    <w:rsid w:val="007B6D8B"/>
    <w:rsid w:val="007D067D"/>
    <w:rsid w:val="007E5A2F"/>
    <w:rsid w:val="007E7109"/>
    <w:rsid w:val="00845251"/>
    <w:rsid w:val="00864A00"/>
    <w:rsid w:val="008B4B23"/>
    <w:rsid w:val="008F49DD"/>
    <w:rsid w:val="00936C83"/>
    <w:rsid w:val="00955131"/>
    <w:rsid w:val="00962FEC"/>
    <w:rsid w:val="00964408"/>
    <w:rsid w:val="00992C38"/>
    <w:rsid w:val="009A4D25"/>
    <w:rsid w:val="009B5618"/>
    <w:rsid w:val="009B74BA"/>
    <w:rsid w:val="009B75CE"/>
    <w:rsid w:val="009C5024"/>
    <w:rsid w:val="009D2A2D"/>
    <w:rsid w:val="009F1659"/>
    <w:rsid w:val="00A22B9D"/>
    <w:rsid w:val="00A46807"/>
    <w:rsid w:val="00A6715A"/>
    <w:rsid w:val="00A84286"/>
    <w:rsid w:val="00A921E7"/>
    <w:rsid w:val="00A93D45"/>
    <w:rsid w:val="00AA55C6"/>
    <w:rsid w:val="00AB2588"/>
    <w:rsid w:val="00AF7420"/>
    <w:rsid w:val="00B9762E"/>
    <w:rsid w:val="00BD729E"/>
    <w:rsid w:val="00C10D2E"/>
    <w:rsid w:val="00C16B7D"/>
    <w:rsid w:val="00C23E64"/>
    <w:rsid w:val="00C46501"/>
    <w:rsid w:val="00C51779"/>
    <w:rsid w:val="00C664D2"/>
    <w:rsid w:val="00C6738B"/>
    <w:rsid w:val="00C81908"/>
    <w:rsid w:val="00C86549"/>
    <w:rsid w:val="00C86605"/>
    <w:rsid w:val="00C94033"/>
    <w:rsid w:val="00CD352B"/>
    <w:rsid w:val="00CE7A6C"/>
    <w:rsid w:val="00D061E1"/>
    <w:rsid w:val="00D076BB"/>
    <w:rsid w:val="00D1391A"/>
    <w:rsid w:val="00D216B2"/>
    <w:rsid w:val="00D37547"/>
    <w:rsid w:val="00D51711"/>
    <w:rsid w:val="00D61516"/>
    <w:rsid w:val="00D918F0"/>
    <w:rsid w:val="00DA00C0"/>
    <w:rsid w:val="00DA1981"/>
    <w:rsid w:val="00DB07D8"/>
    <w:rsid w:val="00DB0CB2"/>
    <w:rsid w:val="00E32B1C"/>
    <w:rsid w:val="00E341A7"/>
    <w:rsid w:val="00EC6AAF"/>
    <w:rsid w:val="00F00450"/>
    <w:rsid w:val="00F07254"/>
    <w:rsid w:val="00F153C2"/>
    <w:rsid w:val="00F37B9E"/>
    <w:rsid w:val="00FC5592"/>
    <w:rsid w:val="00FF5C5E"/>
    <w:rsid w:val="09DE4F64"/>
    <w:rsid w:val="6DEF34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0"/>
    <w:semiHidden/>
    <w:qFormat/>
    <w:uiPriority w:val="99"/>
    <w:pPr>
      <w:shd w:val="clear" w:color="auto" w:fill="000080"/>
    </w:p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7">
    <w:name w:val="page number"/>
    <w:basedOn w:val="6"/>
    <w:uiPriority w:val="99"/>
  </w:style>
  <w:style w:type="character" w:customStyle="1" w:styleId="8">
    <w:name w:val="Footer Char"/>
    <w:basedOn w:val="6"/>
    <w:link w:val="3"/>
    <w:semiHidden/>
    <w:locked/>
    <w:uiPriority w:val="99"/>
    <w:rPr>
      <w:sz w:val="18"/>
      <w:szCs w:val="18"/>
    </w:rPr>
  </w:style>
  <w:style w:type="character" w:customStyle="1" w:styleId="9">
    <w:name w:val="Header Char"/>
    <w:basedOn w:val="6"/>
    <w:link w:val="4"/>
    <w:semiHidden/>
    <w:locked/>
    <w:uiPriority w:val="99"/>
    <w:rPr>
      <w:sz w:val="18"/>
      <w:szCs w:val="18"/>
    </w:rPr>
  </w:style>
  <w:style w:type="character" w:customStyle="1" w:styleId="10">
    <w:name w:val="Document Map Char"/>
    <w:basedOn w:val="6"/>
    <w:link w:val="2"/>
    <w:semiHidden/>
    <w:qFormat/>
    <w:locked/>
    <w:uiPriority w:val="99"/>
    <w:rPr>
      <w:rFonts w:ascii="Times New Roman" w:hAnsi="Times New Roman" w:cs="Times New Roman"/>
      <w:sz w:val="2"/>
      <w:szCs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9</Pages>
  <Words>586</Words>
  <Characters>3344</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2018-10-29T12:01:00Z</dcterms:created>
  <dc:creator>国库</dc:creator>
  <cp:lastModifiedBy>无心之言*</cp:lastModifiedBy>
  <cp:lastPrinted>2018-10-10T00:45:00Z</cp:lastPrinted>
  <dcterms:modified xsi:type="dcterms:W3CDTF">2019-01-29T08:47:29Z</dcterms:modified>
  <dc:title>2017年度河北霸州经济开发区管理委员会决算信息公开情况说明</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